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70" w:type="dxa"/>
          <w:right w:w="70" w:type="dxa"/>
        </w:tblCellMar>
        <w:tblLook w:val="04A0" w:firstRow="1" w:lastRow="0" w:firstColumn="1" w:lastColumn="0" w:noHBand="0" w:noVBand="1"/>
      </w:tblPr>
      <w:tblGrid>
        <w:gridCol w:w="5928"/>
        <w:gridCol w:w="2900"/>
      </w:tblGrid>
      <w:tr w:rsidR="009A55E3" w:rsidRPr="009A55E3" w14:paraId="1614472A" w14:textId="77777777" w:rsidTr="009A55E3">
        <w:trPr>
          <w:trHeight w:val="300"/>
        </w:trPr>
        <w:tc>
          <w:tcPr>
            <w:tcW w:w="0" w:type="auto"/>
            <w:gridSpan w:val="2"/>
            <w:tcBorders>
              <w:top w:val="single" w:sz="4" w:space="0" w:color="auto"/>
              <w:left w:val="single" w:sz="4" w:space="0" w:color="auto"/>
              <w:bottom w:val="nil"/>
              <w:right w:val="single" w:sz="4" w:space="0" w:color="000000"/>
            </w:tcBorders>
            <w:vAlign w:val="center"/>
            <w:hideMark/>
          </w:tcPr>
          <w:p w14:paraId="662AE15B" w14:textId="13E5DFBB" w:rsidR="009A55E3" w:rsidRPr="009A55E3" w:rsidRDefault="009A55E3" w:rsidP="009A55E3">
            <w:pPr>
              <w:jc w:val="center"/>
              <w:rPr>
                <w:rFonts w:ascii="Arial" w:eastAsia="Times New Roman" w:hAnsi="Arial" w:cs="Arial"/>
                <w:b/>
                <w:bCs/>
                <w:color w:val="000000"/>
                <w:sz w:val="20"/>
                <w:szCs w:val="20"/>
                <w:lang w:val="es-MX" w:eastAsia="es-MX"/>
              </w:rPr>
            </w:pPr>
          </w:p>
        </w:tc>
      </w:tr>
      <w:tr w:rsidR="009A55E3" w:rsidRPr="009A55E3" w14:paraId="0BC92F93" w14:textId="77777777" w:rsidTr="009A55E3">
        <w:trPr>
          <w:trHeight w:val="300"/>
        </w:trPr>
        <w:tc>
          <w:tcPr>
            <w:tcW w:w="0" w:type="auto"/>
            <w:gridSpan w:val="2"/>
            <w:tcBorders>
              <w:top w:val="nil"/>
              <w:left w:val="single" w:sz="4" w:space="0" w:color="auto"/>
              <w:bottom w:val="nil"/>
              <w:right w:val="single" w:sz="4" w:space="0" w:color="000000"/>
            </w:tcBorders>
            <w:vAlign w:val="center"/>
            <w:hideMark/>
          </w:tcPr>
          <w:p w14:paraId="22FAD4FA" w14:textId="77777777" w:rsidR="009A55E3" w:rsidRPr="009A55E3" w:rsidRDefault="009A55E3" w:rsidP="009A55E3">
            <w:pPr>
              <w:jc w:val="center"/>
              <w:rPr>
                <w:rFonts w:ascii="Arial" w:eastAsia="Times New Roman" w:hAnsi="Arial" w:cs="Arial"/>
                <w:b/>
                <w:bCs/>
                <w:color w:val="000000"/>
                <w:sz w:val="20"/>
                <w:szCs w:val="20"/>
                <w:lang w:val="es-MX" w:eastAsia="es-MX"/>
              </w:rPr>
            </w:pPr>
            <w:r w:rsidRPr="009A55E3">
              <w:rPr>
                <w:rFonts w:ascii="Arial" w:eastAsia="Times New Roman" w:hAnsi="Arial" w:cs="Arial"/>
                <w:b/>
                <w:bCs/>
                <w:color w:val="000000"/>
                <w:sz w:val="20"/>
                <w:szCs w:val="20"/>
                <w:lang w:val="es-MX" w:eastAsia="es-MX"/>
              </w:rPr>
              <w:t>GOBERNACIÓN DE SUCRE</w:t>
            </w:r>
          </w:p>
        </w:tc>
      </w:tr>
      <w:tr w:rsidR="009A55E3" w:rsidRPr="009A55E3" w14:paraId="77590AAF" w14:textId="77777777" w:rsidTr="009A55E3">
        <w:trPr>
          <w:trHeight w:val="300"/>
        </w:trPr>
        <w:tc>
          <w:tcPr>
            <w:tcW w:w="0" w:type="auto"/>
            <w:gridSpan w:val="2"/>
            <w:tcBorders>
              <w:top w:val="nil"/>
              <w:left w:val="single" w:sz="4" w:space="0" w:color="auto"/>
              <w:bottom w:val="nil"/>
              <w:right w:val="single" w:sz="4" w:space="0" w:color="000000"/>
            </w:tcBorders>
            <w:vAlign w:val="center"/>
            <w:hideMark/>
          </w:tcPr>
          <w:p w14:paraId="4032C915" w14:textId="4EEA79D4" w:rsidR="009A55E3" w:rsidRPr="009A55E3" w:rsidRDefault="009A55E3" w:rsidP="009A55E3">
            <w:pPr>
              <w:jc w:val="center"/>
              <w:rPr>
                <w:rFonts w:ascii="Arial" w:eastAsia="Times New Roman" w:hAnsi="Arial" w:cs="Arial"/>
                <w:b/>
                <w:bCs/>
                <w:color w:val="000000"/>
                <w:sz w:val="20"/>
                <w:szCs w:val="20"/>
                <w:lang w:val="es-MX" w:eastAsia="es-MX"/>
              </w:rPr>
            </w:pPr>
            <w:r w:rsidRPr="009A55E3">
              <w:rPr>
                <w:rFonts w:ascii="Arial" w:eastAsia="Times New Roman" w:hAnsi="Arial" w:cs="Arial"/>
                <w:b/>
                <w:bCs/>
                <w:color w:val="000000"/>
                <w:sz w:val="20"/>
                <w:szCs w:val="20"/>
                <w:lang w:val="es-MX" w:eastAsia="es-MX"/>
              </w:rPr>
              <w:t>CONDICIONES TÉCNICAS BÁSICAS OBLIGATORIAS</w:t>
            </w:r>
          </w:p>
        </w:tc>
      </w:tr>
      <w:tr w:rsidR="009A55E3" w:rsidRPr="009A55E3" w14:paraId="3161FC18" w14:textId="77777777" w:rsidTr="009A55E3">
        <w:trPr>
          <w:trHeight w:val="300"/>
        </w:trPr>
        <w:tc>
          <w:tcPr>
            <w:tcW w:w="0" w:type="auto"/>
            <w:gridSpan w:val="2"/>
            <w:tcBorders>
              <w:top w:val="nil"/>
              <w:left w:val="single" w:sz="4" w:space="0" w:color="auto"/>
              <w:bottom w:val="single" w:sz="4" w:space="0" w:color="auto"/>
              <w:right w:val="single" w:sz="4" w:space="0" w:color="000000"/>
            </w:tcBorders>
            <w:shd w:val="clear" w:color="000000" w:fill="FFFFFF"/>
            <w:vAlign w:val="center"/>
            <w:hideMark/>
          </w:tcPr>
          <w:p w14:paraId="2DFBD688" w14:textId="77777777" w:rsidR="009A55E3" w:rsidRPr="009A55E3" w:rsidRDefault="009A55E3" w:rsidP="009A55E3">
            <w:pPr>
              <w:jc w:val="center"/>
              <w:rPr>
                <w:rFonts w:ascii="Arial" w:eastAsia="Times New Roman" w:hAnsi="Arial" w:cs="Arial"/>
                <w:b/>
                <w:bCs/>
                <w:color w:val="000000"/>
                <w:sz w:val="20"/>
                <w:szCs w:val="20"/>
                <w:lang w:val="es-MX" w:eastAsia="es-MX"/>
              </w:rPr>
            </w:pPr>
            <w:r w:rsidRPr="009A55E3">
              <w:rPr>
                <w:rFonts w:ascii="Arial" w:eastAsia="Times New Roman" w:hAnsi="Arial" w:cs="Arial"/>
                <w:b/>
                <w:bCs/>
                <w:color w:val="000000"/>
                <w:sz w:val="20"/>
                <w:szCs w:val="20"/>
                <w:lang w:val="es-MX" w:eastAsia="es-MX"/>
              </w:rPr>
              <w:t>SEGURO DE MAQUINARIA Y EQUIPO</w:t>
            </w:r>
          </w:p>
        </w:tc>
      </w:tr>
      <w:tr w:rsidR="009A55E3" w:rsidRPr="009A55E3" w14:paraId="00397A30" w14:textId="77777777" w:rsidTr="009A55E3">
        <w:trPr>
          <w:trHeight w:val="300"/>
        </w:trPr>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1710F2A6" w14:textId="62A29C9F"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 xml:space="preserve">TOMADOR: </w:t>
            </w:r>
            <w:r w:rsidRPr="009A55E3">
              <w:rPr>
                <w:rFonts w:ascii="Arial" w:eastAsia="Times New Roman" w:hAnsi="Arial" w:cs="Arial"/>
                <w:sz w:val="20"/>
                <w:szCs w:val="20"/>
                <w:lang w:val="es-MX" w:eastAsia="es-MX"/>
              </w:rPr>
              <w:t>GOBERNACIÓN DE SUCRE</w:t>
            </w:r>
          </w:p>
        </w:tc>
      </w:tr>
      <w:tr w:rsidR="009A55E3" w:rsidRPr="009A55E3" w14:paraId="07D91C29" w14:textId="77777777" w:rsidTr="009A55E3">
        <w:trPr>
          <w:trHeight w:val="300"/>
        </w:trPr>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38113989" w14:textId="4FEB4D5A"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ASEGURADO:</w:t>
            </w:r>
            <w:r w:rsidRPr="009A55E3">
              <w:rPr>
                <w:rFonts w:ascii="Arial" w:eastAsia="Times New Roman" w:hAnsi="Arial" w:cs="Arial"/>
                <w:sz w:val="20"/>
                <w:szCs w:val="20"/>
                <w:lang w:val="es-MX" w:eastAsia="es-MX"/>
              </w:rPr>
              <w:t xml:space="preserve"> GOBERNACIÓN DE SUCRE</w:t>
            </w:r>
          </w:p>
        </w:tc>
      </w:tr>
      <w:tr w:rsidR="009A55E3" w:rsidRPr="009A55E3" w14:paraId="11DEFC71" w14:textId="77777777" w:rsidTr="009A55E3">
        <w:trPr>
          <w:trHeight w:val="300"/>
        </w:trPr>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2F19F529" w14:textId="494DF293"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 xml:space="preserve">BENEFICIARIO: </w:t>
            </w:r>
            <w:r w:rsidRPr="009A55E3">
              <w:rPr>
                <w:rFonts w:ascii="Arial" w:eastAsia="Times New Roman" w:hAnsi="Arial" w:cs="Arial"/>
                <w:sz w:val="20"/>
                <w:szCs w:val="20"/>
                <w:lang w:val="es-MX" w:eastAsia="es-MX"/>
              </w:rPr>
              <w:t>GOBERNACIÓN DE SUCRE</w:t>
            </w:r>
          </w:p>
        </w:tc>
      </w:tr>
      <w:tr w:rsidR="009A55E3" w:rsidRPr="009A55E3" w14:paraId="05E2F04C" w14:textId="77777777" w:rsidTr="009A55E3">
        <w:trPr>
          <w:trHeight w:val="300"/>
        </w:trPr>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328726A9" w14:textId="09EF4CC9"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 xml:space="preserve">VIGENCIA: </w:t>
            </w:r>
            <w:r w:rsidRPr="009A55E3">
              <w:rPr>
                <w:rFonts w:ascii="Arial" w:eastAsia="Times New Roman" w:hAnsi="Arial" w:cs="Arial"/>
                <w:sz w:val="20"/>
                <w:szCs w:val="20"/>
                <w:lang w:val="es-MX" w:eastAsia="es-MX"/>
              </w:rPr>
              <w:t>Un año, a partir de la adjudicación.</w:t>
            </w:r>
          </w:p>
        </w:tc>
      </w:tr>
      <w:tr w:rsidR="009A55E3" w:rsidRPr="009A55E3" w14:paraId="4222B6F2" w14:textId="77777777" w:rsidTr="009A55E3">
        <w:trPr>
          <w:trHeight w:val="585"/>
        </w:trPr>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6E295159" w14:textId="77777777" w:rsidR="009A55E3" w:rsidRPr="009A55E3" w:rsidRDefault="009A55E3" w:rsidP="009A55E3">
            <w:pPr>
              <w:jc w:val="both"/>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 xml:space="preserve">Se requiere la presentación de ofertas con las condiciones que se detallan a continuación, las cuales se consideran requisito mínimo obligatorio, por ello no son objeto de asignación de puntaje; el no otorgamiento de la totalidad de las mismas dará lugar al rechazo de la propuesta de la presente póliza. </w:t>
            </w:r>
          </w:p>
        </w:tc>
      </w:tr>
      <w:tr w:rsidR="009A55E3" w:rsidRPr="009A55E3" w14:paraId="1F809AAF" w14:textId="77777777" w:rsidTr="009A55E3">
        <w:trPr>
          <w:trHeight w:val="300"/>
        </w:trPr>
        <w:tc>
          <w:tcPr>
            <w:tcW w:w="0" w:type="auto"/>
            <w:gridSpan w:val="2"/>
            <w:tcBorders>
              <w:top w:val="single" w:sz="4" w:space="0" w:color="auto"/>
              <w:left w:val="single" w:sz="4" w:space="0" w:color="auto"/>
              <w:bottom w:val="single" w:sz="4" w:space="0" w:color="auto"/>
              <w:right w:val="single" w:sz="4" w:space="0" w:color="auto"/>
            </w:tcBorders>
            <w:shd w:val="clear" w:color="000000" w:fill="FF0000"/>
            <w:vAlign w:val="center"/>
            <w:hideMark/>
          </w:tcPr>
          <w:p w14:paraId="48D1463E" w14:textId="77777777" w:rsidR="009A55E3" w:rsidRPr="009A55E3" w:rsidRDefault="009A55E3" w:rsidP="009A55E3">
            <w:pPr>
              <w:jc w:val="both"/>
              <w:rPr>
                <w:rFonts w:ascii="Arial" w:eastAsia="Times New Roman" w:hAnsi="Arial" w:cs="Arial"/>
                <w:b/>
                <w:bCs/>
                <w:color w:val="FFFFFF"/>
                <w:sz w:val="20"/>
                <w:szCs w:val="20"/>
                <w:lang w:val="es-MX" w:eastAsia="es-MX"/>
              </w:rPr>
            </w:pPr>
            <w:r w:rsidRPr="009A55E3">
              <w:rPr>
                <w:rFonts w:ascii="Arial" w:eastAsia="Times New Roman" w:hAnsi="Arial" w:cs="Arial"/>
                <w:b/>
                <w:bCs/>
                <w:color w:val="FFFFFF"/>
                <w:sz w:val="20"/>
                <w:szCs w:val="20"/>
                <w:lang w:val="es-MX" w:eastAsia="es-MX"/>
              </w:rPr>
              <w:t>1. Objeto del Seguro:</w:t>
            </w:r>
          </w:p>
        </w:tc>
      </w:tr>
      <w:tr w:rsidR="009A55E3" w:rsidRPr="009A55E3" w14:paraId="52C10AC2" w14:textId="77777777" w:rsidTr="009A55E3">
        <w:trPr>
          <w:trHeight w:val="870"/>
        </w:trPr>
        <w:tc>
          <w:tcPr>
            <w:tcW w:w="0" w:type="auto"/>
            <w:gridSpan w:val="2"/>
            <w:tcBorders>
              <w:top w:val="single" w:sz="4" w:space="0" w:color="auto"/>
              <w:left w:val="single" w:sz="4" w:space="0" w:color="auto"/>
              <w:bottom w:val="nil"/>
              <w:right w:val="single" w:sz="4" w:space="0" w:color="000000"/>
            </w:tcBorders>
            <w:shd w:val="clear" w:color="000000" w:fill="FFFFFF"/>
            <w:vAlign w:val="center"/>
            <w:hideMark/>
          </w:tcPr>
          <w:p w14:paraId="23BADD1B"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 xml:space="preserve">Interés Asegurable                                                                                                                                                                     </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Se cubre toda propiedad real o Toda maquinaria y equipos de propiedad del asegurado o de terceros bajo su cuidado, custodia, control o por los cuales sea responsable o tenga interés asegurable, localizados dentro del territorio nacional utilizados en desarrollo del objeto social del asegurado.</w:t>
            </w:r>
          </w:p>
        </w:tc>
      </w:tr>
      <w:tr w:rsidR="009A55E3" w:rsidRPr="009A55E3" w14:paraId="250C9996" w14:textId="77777777" w:rsidTr="009A55E3">
        <w:trPr>
          <w:trHeight w:val="300"/>
        </w:trPr>
        <w:tc>
          <w:tcPr>
            <w:tcW w:w="0" w:type="auto"/>
            <w:gridSpan w:val="2"/>
            <w:tcBorders>
              <w:top w:val="single" w:sz="4" w:space="0" w:color="auto"/>
              <w:left w:val="single" w:sz="4" w:space="0" w:color="auto"/>
              <w:bottom w:val="single" w:sz="4" w:space="0" w:color="auto"/>
              <w:right w:val="single" w:sz="4" w:space="0" w:color="auto"/>
            </w:tcBorders>
            <w:shd w:val="clear" w:color="000000" w:fill="FF0000"/>
            <w:vAlign w:val="center"/>
            <w:hideMark/>
          </w:tcPr>
          <w:p w14:paraId="52C685EC" w14:textId="77777777" w:rsidR="009A55E3" w:rsidRPr="009A55E3" w:rsidRDefault="009A55E3" w:rsidP="009A55E3">
            <w:pPr>
              <w:jc w:val="both"/>
              <w:rPr>
                <w:rFonts w:ascii="Arial" w:eastAsia="Times New Roman" w:hAnsi="Arial" w:cs="Arial"/>
                <w:b/>
                <w:bCs/>
                <w:color w:val="FFFFFF"/>
                <w:sz w:val="20"/>
                <w:szCs w:val="20"/>
                <w:lang w:val="es-MX" w:eastAsia="es-MX"/>
              </w:rPr>
            </w:pPr>
            <w:r w:rsidRPr="009A55E3">
              <w:rPr>
                <w:rFonts w:ascii="Arial" w:eastAsia="Times New Roman" w:hAnsi="Arial" w:cs="Arial"/>
                <w:b/>
                <w:bCs/>
                <w:color w:val="FFFFFF"/>
                <w:sz w:val="20"/>
                <w:szCs w:val="20"/>
                <w:lang w:val="es-MX" w:eastAsia="es-MX"/>
              </w:rPr>
              <w:t>2. Cobertura Básica</w:t>
            </w:r>
          </w:p>
        </w:tc>
      </w:tr>
      <w:tr w:rsidR="009A55E3" w:rsidRPr="009A55E3" w14:paraId="3A9D3479" w14:textId="77777777" w:rsidTr="009A55E3">
        <w:trPr>
          <w:trHeight w:val="2925"/>
        </w:trPr>
        <w:tc>
          <w:tcPr>
            <w:tcW w:w="0" w:type="auto"/>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6F6CC3B7" w14:textId="77777777" w:rsidR="009A55E3" w:rsidRPr="009A55E3" w:rsidRDefault="009A55E3" w:rsidP="009A55E3">
            <w:pPr>
              <w:jc w:val="both"/>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Modalidad de la póliza: Todo Riesgo pérdida y/o daño material con exclusiones. No se acepta propuesta de pólizas de seguros bajo la modalidad de riesgos nombrados, por lo tanto las ofertas de este tipo de seguro serán objeto de rechazo.</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La aseguradora se obliga a indemnizar al asegurado los daños y/o pérdidas que sufran los intereses asegurados, así como los costos y/o gastos en que incurra, o todos combinados, como consecuencia de los riesgos que a continuación se enuncian: Todo riesgo para las pérdidas y/o daños materiales que sufran los intereses asegurados por cualquier riesgo y/o causas, incluidos, pero no limitados a: Incendio, explosión, anegación, daños por agua; extended coverage; huelga, asonada, motín, conmoción civil o popular, actos mal intencionados de terceros, incluidos sabotaje y los actos terroristas, cometidos o no por movimientos subversivos (tomas a poblaciones, municipios y ciudades y los actos de la autoridad para repelerlos); terremoto, temblor y/o erupción volcánica y/o eventos de la naturaleza tales como ciclón, huracán, tempestad, vientos, inundación, desbordamiento, alza en el nivel de aguas y enfangamiento del terreno, derrumbes, aludes, desprendimiento de tierra y rocas, y las pérdidas originados por tales fenómenos y otros accidentes ocurridos a los equipos por causas no expresamente excluidas en la póliza, sustracción con violencia y sustracción sin violencia, y demás amparos y/o coberturas que no se encuentren expresamente excluidas.</w:t>
            </w:r>
          </w:p>
        </w:tc>
      </w:tr>
      <w:tr w:rsidR="009A55E3" w:rsidRPr="009A55E3" w14:paraId="6F01EC78" w14:textId="77777777" w:rsidTr="009A55E3">
        <w:trPr>
          <w:trHeight w:val="300"/>
        </w:trPr>
        <w:tc>
          <w:tcPr>
            <w:tcW w:w="0" w:type="auto"/>
            <w:gridSpan w:val="2"/>
            <w:tcBorders>
              <w:top w:val="single" w:sz="4" w:space="0" w:color="auto"/>
              <w:left w:val="single" w:sz="4" w:space="0" w:color="auto"/>
              <w:bottom w:val="single" w:sz="4" w:space="0" w:color="auto"/>
              <w:right w:val="single" w:sz="4" w:space="0" w:color="auto"/>
            </w:tcBorders>
            <w:shd w:val="clear" w:color="000000" w:fill="FF0000"/>
            <w:vAlign w:val="center"/>
            <w:hideMark/>
          </w:tcPr>
          <w:p w14:paraId="3BF2DC80" w14:textId="77777777" w:rsidR="009A55E3" w:rsidRPr="009A55E3" w:rsidRDefault="009A55E3" w:rsidP="009A55E3">
            <w:pPr>
              <w:jc w:val="both"/>
              <w:rPr>
                <w:rFonts w:ascii="Arial" w:eastAsia="Times New Roman" w:hAnsi="Arial" w:cs="Arial"/>
                <w:b/>
                <w:bCs/>
                <w:color w:val="FFFFFF"/>
                <w:sz w:val="20"/>
                <w:szCs w:val="20"/>
                <w:lang w:val="es-MX" w:eastAsia="es-MX"/>
              </w:rPr>
            </w:pPr>
            <w:r w:rsidRPr="009A55E3">
              <w:rPr>
                <w:rFonts w:ascii="Arial" w:eastAsia="Times New Roman" w:hAnsi="Arial" w:cs="Arial"/>
                <w:b/>
                <w:bCs/>
                <w:color w:val="FFFFFF"/>
                <w:sz w:val="20"/>
                <w:szCs w:val="20"/>
                <w:lang w:val="es-MX" w:eastAsia="es-MX"/>
              </w:rPr>
              <w:t xml:space="preserve">3. Bienes e Intereses Asegurados: </w:t>
            </w:r>
          </w:p>
        </w:tc>
      </w:tr>
      <w:tr w:rsidR="009A55E3" w:rsidRPr="009A55E3" w14:paraId="34C931BD" w14:textId="77777777" w:rsidTr="009A55E3">
        <w:trPr>
          <w:trHeight w:val="4440"/>
        </w:trPr>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5921AA98" w14:textId="77777777" w:rsidR="00E00BAC" w:rsidRDefault="009A55E3" w:rsidP="009A55E3">
            <w:pPr>
              <w:jc w:val="both"/>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lastRenderedPageBreak/>
              <w:t>Toda propiedad real o personal del Gobernación de Sucre, los tomados en arriendo,  y los de terceros que se encuentren bajo su cuidado, control y custodia, o en los que tuviese interés asegurable o los recibidos a cualquier título o aquellos por los cuales sea o pueda llegar a ser legalmente responsable, utilizados en desarrollo del objeto social del asegurado, consistentes principalmente, pero no limitados a:</w:t>
            </w:r>
          </w:p>
          <w:p w14:paraId="6E864BB9" w14:textId="77777777" w:rsidR="00E00BAC" w:rsidRDefault="009A55E3" w:rsidP="009A55E3">
            <w:pPr>
              <w:jc w:val="both"/>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 xml:space="preserve"> </w:t>
            </w:r>
            <w:r w:rsidRPr="009A55E3">
              <w:rPr>
                <w:rFonts w:ascii="Arial" w:eastAsia="Times New Roman" w:hAnsi="Arial" w:cs="Arial"/>
                <w:sz w:val="20"/>
                <w:szCs w:val="20"/>
                <w:lang w:val="es-MX" w:eastAsia="es-MX"/>
              </w:rPr>
              <w:br/>
              <w:t>Maquinaria y Equipo de Construcción:</w:t>
            </w:r>
          </w:p>
          <w:p w14:paraId="641CBDAF" w14:textId="77777777" w:rsidR="00E00BAC" w:rsidRDefault="009A55E3" w:rsidP="009A55E3">
            <w:pPr>
              <w:jc w:val="both"/>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 xml:space="preserve">                                                                                                                                           </w:t>
            </w:r>
            <w:r w:rsidRPr="009A55E3">
              <w:rPr>
                <w:rFonts w:ascii="Arial" w:eastAsia="Times New Roman" w:hAnsi="Arial" w:cs="Arial"/>
                <w:sz w:val="20"/>
                <w:szCs w:val="20"/>
                <w:lang w:val="es-MX" w:eastAsia="es-MX"/>
              </w:rPr>
              <w:br/>
              <w:t>Equipos y herramientas, maquinas e instalaciones auxiliares, bien sean de naturaleza móvil tales como bulldozers, cargadoras, montacargas, moto traílers, camiones basculantes, excavadoras, dragas, equipo de construcción de carreteras, pavimentadoras, fresadoras de asfalto y concreto, aplanadoras, moto niveladoras, grúas y perforadoras; de la misma forma se cubren equipos y maquinaria de naturaleza fija tales como: sistemas de cintas transportadoras, complejos de procesamiento de grava, hormigón o asfalto, grúas torre, elevadores, generadores de energía eléctrica y transformadores en los sitios de obra;  así como construcciones temporales (alojamientos, oficinas, almacenes, talleres), demás bienes de similares características, y en general cualquier bien de propiedad del asegurado o bajo su cuidado, custodia y responsabilidad, así no se encuentre específicamente relacionado, sea que dichos bienes se encuentren ubicados en el lugar de la obra; estén o no trabajando o hayan sido desarmados para fines de reparación, limpieza, revisión, reacondicionamiento, o cuando sean desmontados o remontados; en el trayecto de desplazamiento a la misma, o en almacenamiento o depósito.</w:t>
            </w:r>
          </w:p>
          <w:p w14:paraId="1F9AE23C" w14:textId="77777777" w:rsidR="00E00BAC" w:rsidRDefault="009A55E3" w:rsidP="009A55E3">
            <w:pPr>
              <w:jc w:val="both"/>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 xml:space="preserve">    </w:t>
            </w:r>
            <w:r w:rsidRPr="009A55E3">
              <w:rPr>
                <w:rFonts w:ascii="Arial" w:eastAsia="Times New Roman" w:hAnsi="Arial" w:cs="Arial"/>
                <w:sz w:val="20"/>
                <w:szCs w:val="20"/>
                <w:lang w:val="es-MX" w:eastAsia="es-MX"/>
              </w:rPr>
              <w:br/>
              <w:t>Maquinaria Agrícola, y/o Ganadera:</w:t>
            </w:r>
          </w:p>
          <w:p w14:paraId="37D9ACDB" w14:textId="3DA5E04E" w:rsidR="009A55E3" w:rsidRPr="009A55E3" w:rsidRDefault="009A55E3" w:rsidP="009A55E3">
            <w:pPr>
              <w:jc w:val="both"/>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 xml:space="preserve">                                                                                                                                               </w:t>
            </w:r>
            <w:r w:rsidRPr="009A55E3">
              <w:rPr>
                <w:rFonts w:ascii="Arial" w:eastAsia="Times New Roman" w:hAnsi="Arial" w:cs="Arial"/>
                <w:sz w:val="20"/>
                <w:szCs w:val="20"/>
                <w:lang w:val="es-MX" w:eastAsia="es-MX"/>
              </w:rPr>
              <w:br/>
              <w:t>Máquinas, equipos, elementos auxiliares, complementarios y sus accesorios tales como: tractores, remolques, aperos cosechadoras, sembradoras o la combinación de las mismas; cortadoras de pasto, equipo de riego, maquinaria forestal; otra maquinaria autopropulsada de uso agropecuario; equipos de ordeño, tanques refrigerantes de leche; y en general cualquier bien o maquinaria de uso agropecuario, de propiedad del asegurado o bajo su cuidado, custodia y responsabilidad.</w:t>
            </w:r>
          </w:p>
        </w:tc>
      </w:tr>
      <w:tr w:rsidR="009A55E3" w:rsidRPr="009A55E3" w14:paraId="1EE9DEE0" w14:textId="77777777" w:rsidTr="009A55E3">
        <w:trPr>
          <w:trHeight w:val="300"/>
        </w:trPr>
        <w:tc>
          <w:tcPr>
            <w:tcW w:w="0" w:type="auto"/>
            <w:gridSpan w:val="2"/>
            <w:tcBorders>
              <w:top w:val="single" w:sz="4" w:space="0" w:color="auto"/>
              <w:left w:val="single" w:sz="4" w:space="0" w:color="auto"/>
              <w:bottom w:val="single" w:sz="4" w:space="0" w:color="auto"/>
              <w:right w:val="single" w:sz="4" w:space="0" w:color="000000"/>
            </w:tcBorders>
            <w:shd w:val="clear" w:color="000000" w:fill="FF0000"/>
            <w:vAlign w:val="center"/>
            <w:hideMark/>
          </w:tcPr>
          <w:p w14:paraId="2585F3E2" w14:textId="77777777" w:rsidR="009A55E3" w:rsidRPr="009A55E3" w:rsidRDefault="009A55E3" w:rsidP="009A55E3">
            <w:pPr>
              <w:jc w:val="both"/>
              <w:rPr>
                <w:rFonts w:ascii="Arial" w:eastAsia="Times New Roman" w:hAnsi="Arial" w:cs="Arial"/>
                <w:b/>
                <w:bCs/>
                <w:color w:val="FFFFFF"/>
                <w:sz w:val="20"/>
                <w:szCs w:val="20"/>
                <w:lang w:val="es-MX" w:eastAsia="es-MX"/>
              </w:rPr>
            </w:pPr>
            <w:r w:rsidRPr="009A55E3">
              <w:rPr>
                <w:rFonts w:ascii="Arial" w:eastAsia="Times New Roman" w:hAnsi="Arial" w:cs="Arial"/>
                <w:b/>
                <w:bCs/>
                <w:color w:val="FFFFFF"/>
                <w:sz w:val="20"/>
                <w:szCs w:val="20"/>
                <w:lang w:val="es-MX" w:eastAsia="es-MX"/>
              </w:rPr>
              <w:t>4. Bienes e intereses excluidos</w:t>
            </w:r>
          </w:p>
        </w:tc>
      </w:tr>
      <w:tr w:rsidR="009A55E3" w:rsidRPr="009A55E3" w14:paraId="69DB9BE4" w14:textId="77777777" w:rsidTr="009A55E3">
        <w:trPr>
          <w:trHeight w:val="1155"/>
        </w:trPr>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0D17EC94" w14:textId="77777777" w:rsidR="009A55E3" w:rsidRPr="009A55E3" w:rsidRDefault="009A55E3" w:rsidP="009A55E3">
            <w:pPr>
              <w:jc w:val="both"/>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En materia de riesgos excluidos Gobernación de Sucre acepta únicamente los expresamente mencionados como exclusiones absolutas de cobertura las que figuran en el texto del condicionado general depositado por la Aseguradora en la Superintendencia Financiera con anterioridad no inferior a quince (15) días hábiles al cierre del proceso. Serán válidas las exclusiones relativas consignadas en los mencionados condicionados generales solo cuando no contradigan las condiciones técnicas básicas habilitantes del presente proceso, en cuyo caso prevalecerán las condiciones técnicas básicas habilitantes.</w:t>
            </w:r>
          </w:p>
        </w:tc>
      </w:tr>
      <w:tr w:rsidR="009A55E3" w:rsidRPr="009A55E3" w14:paraId="5CA85685" w14:textId="77777777" w:rsidTr="009A55E3">
        <w:trPr>
          <w:trHeight w:val="300"/>
        </w:trPr>
        <w:tc>
          <w:tcPr>
            <w:tcW w:w="0" w:type="auto"/>
            <w:gridSpan w:val="2"/>
            <w:tcBorders>
              <w:top w:val="single" w:sz="4" w:space="0" w:color="auto"/>
              <w:left w:val="single" w:sz="4" w:space="0" w:color="auto"/>
              <w:bottom w:val="single" w:sz="4" w:space="0" w:color="auto"/>
              <w:right w:val="single" w:sz="4" w:space="0" w:color="auto"/>
            </w:tcBorders>
            <w:shd w:val="clear" w:color="000000" w:fill="FF0000"/>
            <w:vAlign w:val="center"/>
            <w:hideMark/>
          </w:tcPr>
          <w:p w14:paraId="28F86786" w14:textId="77777777" w:rsidR="009A55E3" w:rsidRPr="009A55E3" w:rsidRDefault="009A55E3" w:rsidP="009A55E3">
            <w:pPr>
              <w:jc w:val="both"/>
              <w:rPr>
                <w:rFonts w:ascii="Arial" w:eastAsia="Times New Roman" w:hAnsi="Arial" w:cs="Arial"/>
                <w:b/>
                <w:bCs/>
                <w:color w:val="FFFFFF"/>
                <w:sz w:val="20"/>
                <w:szCs w:val="20"/>
                <w:lang w:val="es-MX" w:eastAsia="es-MX"/>
              </w:rPr>
            </w:pPr>
            <w:r w:rsidRPr="009A55E3">
              <w:rPr>
                <w:rFonts w:ascii="Arial" w:eastAsia="Times New Roman" w:hAnsi="Arial" w:cs="Arial"/>
                <w:b/>
                <w:bCs/>
                <w:color w:val="FFFFFF"/>
                <w:sz w:val="20"/>
                <w:szCs w:val="20"/>
                <w:lang w:val="es-MX" w:eastAsia="es-MX"/>
              </w:rPr>
              <w:t>5.Valores asegurados (pesos colombianos)</w:t>
            </w:r>
          </w:p>
        </w:tc>
      </w:tr>
      <w:tr w:rsidR="00E76B86" w:rsidRPr="009A55E3" w14:paraId="6CF3A6ED" w14:textId="77777777" w:rsidTr="009A55E3">
        <w:trPr>
          <w:trHeight w:val="300"/>
        </w:trPr>
        <w:tc>
          <w:tcPr>
            <w:tcW w:w="0" w:type="auto"/>
            <w:gridSpan w:val="2"/>
            <w:tcBorders>
              <w:top w:val="single" w:sz="4" w:space="0" w:color="auto"/>
              <w:left w:val="single" w:sz="4" w:space="0" w:color="auto"/>
              <w:bottom w:val="single" w:sz="4" w:space="0" w:color="auto"/>
              <w:right w:val="single" w:sz="4" w:space="0" w:color="auto"/>
            </w:tcBorders>
            <w:shd w:val="clear" w:color="000000" w:fill="FF0000"/>
            <w:vAlign w:val="center"/>
          </w:tcPr>
          <w:p w14:paraId="359D41D7" w14:textId="2CCC78AE" w:rsidR="00E76B86" w:rsidRPr="009A55E3" w:rsidRDefault="00E76B86" w:rsidP="009A55E3">
            <w:pPr>
              <w:jc w:val="both"/>
              <w:rPr>
                <w:rFonts w:ascii="Arial" w:eastAsia="Times New Roman" w:hAnsi="Arial" w:cs="Arial"/>
                <w:b/>
                <w:bCs/>
                <w:color w:val="FFFFFF"/>
                <w:sz w:val="20"/>
                <w:szCs w:val="20"/>
                <w:lang w:val="es-MX" w:eastAsia="es-MX"/>
              </w:rPr>
            </w:pPr>
            <w:r>
              <w:rPr>
                <w:rFonts w:ascii="Arial" w:eastAsia="Times New Roman" w:hAnsi="Arial" w:cs="Arial"/>
                <w:b/>
                <w:bCs/>
                <w:color w:val="FFFFFF"/>
                <w:sz w:val="20"/>
                <w:szCs w:val="20"/>
                <w:lang w:val="es-MX" w:eastAsia="es-MX"/>
              </w:rPr>
              <w:t>5.1</w:t>
            </w:r>
            <w:r w:rsidR="00D76A4B">
              <w:rPr>
                <w:rFonts w:ascii="Arial" w:eastAsia="Times New Roman" w:hAnsi="Arial" w:cs="Arial"/>
                <w:b/>
                <w:bCs/>
                <w:color w:val="FFFFFF"/>
                <w:sz w:val="20"/>
                <w:szCs w:val="20"/>
                <w:lang w:val="es-MX" w:eastAsia="es-MX"/>
              </w:rPr>
              <w:t xml:space="preserve"> MAQUINARIA Y EQUIPOS A ASEGURAR VER ANEXO n° 8</w:t>
            </w:r>
          </w:p>
        </w:tc>
      </w:tr>
      <w:tr w:rsidR="00606ECD" w:rsidRPr="009A55E3" w14:paraId="64BA2D83" w14:textId="77777777" w:rsidTr="00606ECD">
        <w:trPr>
          <w:trHeight w:val="300"/>
        </w:trPr>
        <w:tc>
          <w:tcPr>
            <w:tcW w:w="0" w:type="auto"/>
            <w:gridSpan w:val="2"/>
            <w:tcBorders>
              <w:top w:val="single" w:sz="4" w:space="0" w:color="auto"/>
              <w:left w:val="single" w:sz="4" w:space="0" w:color="auto"/>
              <w:bottom w:val="single" w:sz="4" w:space="0" w:color="auto"/>
              <w:right w:val="single" w:sz="4" w:space="0" w:color="auto"/>
            </w:tcBorders>
            <w:vAlign w:val="center"/>
          </w:tcPr>
          <w:p w14:paraId="6C506EDE" w14:textId="6302B144" w:rsidR="00606ECD" w:rsidRDefault="004D1505" w:rsidP="009A55E3">
            <w:pPr>
              <w:jc w:val="both"/>
              <w:rPr>
                <w:rFonts w:ascii="Arial" w:eastAsia="Times New Roman" w:hAnsi="Arial" w:cs="Arial"/>
                <w:b/>
                <w:bCs/>
                <w:color w:val="FFFFFF"/>
                <w:sz w:val="20"/>
                <w:szCs w:val="20"/>
                <w:lang w:val="es-MX" w:eastAsia="es-MX"/>
              </w:rPr>
            </w:pPr>
            <w:r>
              <w:rPr>
                <w:rFonts w:ascii="Arial" w:eastAsia="Times New Roman" w:hAnsi="Arial" w:cs="Arial"/>
                <w:b/>
                <w:bCs/>
                <w:noProof/>
                <w:color w:val="FFFFFF"/>
                <w:sz w:val="20"/>
                <w:szCs w:val="20"/>
                <w:lang w:val="es-MX" w:eastAsia="es-MX"/>
              </w:rPr>
              <w:lastRenderedPageBreak/>
              <w:drawing>
                <wp:inline distT="0" distB="0" distL="0" distR="0" wp14:anchorId="671D72A9" wp14:editId="673B24E1">
                  <wp:extent cx="5614670" cy="2524125"/>
                  <wp:effectExtent l="0" t="0" r="5080" b="9525"/>
                  <wp:docPr id="76543305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4670" cy="2524125"/>
                          </a:xfrm>
                          <a:prstGeom prst="rect">
                            <a:avLst/>
                          </a:prstGeom>
                          <a:noFill/>
                        </pic:spPr>
                      </pic:pic>
                    </a:graphicData>
                  </a:graphic>
                </wp:inline>
              </w:drawing>
            </w:r>
          </w:p>
        </w:tc>
      </w:tr>
      <w:tr w:rsidR="009A55E3" w:rsidRPr="009A55E3" w14:paraId="43DAD00E" w14:textId="77777777" w:rsidTr="009A55E3">
        <w:trPr>
          <w:trHeight w:val="300"/>
        </w:trPr>
        <w:tc>
          <w:tcPr>
            <w:tcW w:w="0" w:type="auto"/>
            <w:tcBorders>
              <w:top w:val="nil"/>
              <w:left w:val="single" w:sz="4" w:space="0" w:color="auto"/>
              <w:bottom w:val="single" w:sz="4" w:space="0" w:color="auto"/>
              <w:right w:val="single" w:sz="4" w:space="0" w:color="auto"/>
            </w:tcBorders>
            <w:vAlign w:val="center"/>
            <w:hideMark/>
          </w:tcPr>
          <w:p w14:paraId="63C84085" w14:textId="77777777" w:rsidR="009A55E3" w:rsidRPr="009A55E3" w:rsidRDefault="009A55E3" w:rsidP="009A55E3">
            <w:pPr>
              <w:jc w:val="both"/>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TOTAL MAQUINARIA Y EQUIPO</w:t>
            </w:r>
          </w:p>
        </w:tc>
        <w:tc>
          <w:tcPr>
            <w:tcW w:w="0" w:type="auto"/>
            <w:tcBorders>
              <w:top w:val="nil"/>
              <w:left w:val="nil"/>
              <w:bottom w:val="single" w:sz="4" w:space="0" w:color="auto"/>
              <w:right w:val="single" w:sz="4" w:space="0" w:color="auto"/>
            </w:tcBorders>
            <w:vAlign w:val="center"/>
            <w:hideMark/>
          </w:tcPr>
          <w:p w14:paraId="14600CE1" w14:textId="07108E49" w:rsidR="009A55E3" w:rsidRPr="009A55E3" w:rsidRDefault="009A55E3" w:rsidP="004D1505">
            <w:pPr>
              <w:jc w:val="right"/>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 xml:space="preserve">                                                                                                                                   </w:t>
            </w:r>
            <w:r w:rsidR="00C760B4">
              <w:rPr>
                <w:rFonts w:ascii="Arial" w:eastAsia="Times New Roman" w:hAnsi="Arial" w:cs="Arial"/>
                <w:b/>
                <w:bCs/>
                <w:sz w:val="20"/>
                <w:szCs w:val="20"/>
                <w:lang w:val="es-MX" w:eastAsia="es-MX"/>
              </w:rPr>
              <w:t>$</w:t>
            </w:r>
            <w:r w:rsidR="004D1505">
              <w:rPr>
                <w:rFonts w:ascii="Arial" w:eastAsia="Times New Roman" w:hAnsi="Arial" w:cs="Arial"/>
                <w:b/>
                <w:bCs/>
                <w:sz w:val="20"/>
                <w:szCs w:val="20"/>
                <w:lang w:val="es-MX" w:eastAsia="es-MX"/>
              </w:rPr>
              <w:t>927.400.000.00</w:t>
            </w:r>
          </w:p>
        </w:tc>
      </w:tr>
      <w:tr w:rsidR="009A55E3" w:rsidRPr="009A55E3" w14:paraId="2B2C6128" w14:textId="77777777" w:rsidTr="009A55E3">
        <w:trPr>
          <w:trHeight w:val="300"/>
        </w:trPr>
        <w:tc>
          <w:tcPr>
            <w:tcW w:w="0" w:type="auto"/>
            <w:gridSpan w:val="2"/>
            <w:tcBorders>
              <w:top w:val="single" w:sz="4" w:space="0" w:color="auto"/>
              <w:left w:val="single" w:sz="4" w:space="0" w:color="auto"/>
              <w:bottom w:val="single" w:sz="4" w:space="0" w:color="auto"/>
              <w:right w:val="single" w:sz="4" w:space="0" w:color="auto"/>
            </w:tcBorders>
            <w:shd w:val="clear" w:color="000000" w:fill="FF0000"/>
            <w:vAlign w:val="center"/>
            <w:hideMark/>
          </w:tcPr>
          <w:p w14:paraId="3C6C8B64" w14:textId="77777777" w:rsidR="009A55E3" w:rsidRPr="009A55E3" w:rsidRDefault="009A55E3" w:rsidP="009A55E3">
            <w:pPr>
              <w:jc w:val="both"/>
              <w:rPr>
                <w:rFonts w:ascii="Arial" w:eastAsia="Times New Roman" w:hAnsi="Arial" w:cs="Arial"/>
                <w:b/>
                <w:bCs/>
                <w:color w:val="FFFFFF"/>
                <w:sz w:val="20"/>
                <w:szCs w:val="20"/>
                <w:lang w:val="es-MX" w:eastAsia="es-MX"/>
              </w:rPr>
            </w:pPr>
            <w:r w:rsidRPr="009A55E3">
              <w:rPr>
                <w:rFonts w:ascii="Arial" w:eastAsia="Times New Roman" w:hAnsi="Arial" w:cs="Arial"/>
                <w:b/>
                <w:bCs/>
                <w:color w:val="FFFFFF"/>
                <w:sz w:val="20"/>
                <w:szCs w:val="20"/>
                <w:lang w:val="es-MX" w:eastAsia="es-MX"/>
              </w:rPr>
              <w:t xml:space="preserve">6. Coberturas </w:t>
            </w:r>
          </w:p>
        </w:tc>
      </w:tr>
      <w:tr w:rsidR="009A55E3" w:rsidRPr="009A55E3" w14:paraId="449B5924" w14:textId="77777777" w:rsidTr="009A55E3">
        <w:trPr>
          <w:trHeight w:val="30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980F99" w14:textId="77777777" w:rsidR="009A55E3" w:rsidRPr="009A55E3" w:rsidRDefault="009A55E3" w:rsidP="009A55E3">
            <w:pPr>
              <w:jc w:val="both"/>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Amparos, que hacen parte de la cobertura , pero no limitada a estos:</w:t>
            </w:r>
          </w:p>
        </w:tc>
      </w:tr>
      <w:tr w:rsidR="009A55E3" w:rsidRPr="009A55E3" w14:paraId="721632D7" w14:textId="77777777" w:rsidTr="009A55E3">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6B79DE3" w14:textId="77777777" w:rsidR="009A55E3" w:rsidRPr="009A55E3" w:rsidRDefault="009A55E3" w:rsidP="009A55E3">
            <w:pP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Básico</w:t>
            </w:r>
          </w:p>
        </w:tc>
        <w:tc>
          <w:tcPr>
            <w:tcW w:w="0" w:type="auto"/>
            <w:tcBorders>
              <w:top w:val="nil"/>
              <w:left w:val="nil"/>
              <w:bottom w:val="single" w:sz="4" w:space="0" w:color="auto"/>
              <w:right w:val="single" w:sz="4" w:space="0" w:color="auto"/>
            </w:tcBorders>
            <w:shd w:val="clear" w:color="000000" w:fill="FFFFFF"/>
            <w:vAlign w:val="center"/>
            <w:hideMark/>
          </w:tcPr>
          <w:p w14:paraId="1D30BED8"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Cobertura al 100%</w:t>
            </w:r>
          </w:p>
        </w:tc>
      </w:tr>
      <w:tr w:rsidR="009A55E3" w:rsidRPr="009A55E3" w14:paraId="07CE1BFF" w14:textId="77777777" w:rsidTr="009A55E3">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8A96228" w14:textId="77777777" w:rsidR="009A55E3" w:rsidRPr="009A55E3" w:rsidRDefault="009A55E3" w:rsidP="009A55E3">
            <w:pP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HMACC-AMIT-Terrorismo</w:t>
            </w:r>
          </w:p>
        </w:tc>
        <w:tc>
          <w:tcPr>
            <w:tcW w:w="0" w:type="auto"/>
            <w:tcBorders>
              <w:top w:val="nil"/>
              <w:left w:val="nil"/>
              <w:bottom w:val="single" w:sz="4" w:space="0" w:color="auto"/>
              <w:right w:val="single" w:sz="4" w:space="0" w:color="auto"/>
            </w:tcBorders>
            <w:shd w:val="clear" w:color="000000" w:fill="FFFFFF"/>
            <w:vAlign w:val="center"/>
            <w:hideMark/>
          </w:tcPr>
          <w:p w14:paraId="752782B4"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Cobertura al 100%</w:t>
            </w:r>
          </w:p>
        </w:tc>
      </w:tr>
      <w:tr w:rsidR="009A55E3" w:rsidRPr="009A55E3" w14:paraId="2CE44DB3" w14:textId="77777777" w:rsidTr="009A55E3">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914A8A2" w14:textId="77777777" w:rsidR="009A55E3" w:rsidRPr="009A55E3" w:rsidRDefault="009A55E3" w:rsidP="009A55E3">
            <w:pP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Hurto y Hurto calificado</w:t>
            </w:r>
          </w:p>
        </w:tc>
        <w:tc>
          <w:tcPr>
            <w:tcW w:w="0" w:type="auto"/>
            <w:tcBorders>
              <w:top w:val="nil"/>
              <w:left w:val="nil"/>
              <w:bottom w:val="single" w:sz="4" w:space="0" w:color="auto"/>
              <w:right w:val="single" w:sz="4" w:space="0" w:color="auto"/>
            </w:tcBorders>
            <w:shd w:val="clear" w:color="000000" w:fill="FFFFFF"/>
            <w:vAlign w:val="center"/>
            <w:hideMark/>
          </w:tcPr>
          <w:p w14:paraId="7895FBA8"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Cobertura al 100%</w:t>
            </w:r>
          </w:p>
        </w:tc>
      </w:tr>
      <w:tr w:rsidR="009A55E3" w:rsidRPr="009A55E3" w14:paraId="62978B53" w14:textId="77777777" w:rsidTr="009A55E3">
        <w:trPr>
          <w:trHeight w:val="30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D8594A2" w14:textId="77777777" w:rsidR="009A55E3" w:rsidRPr="009A55E3" w:rsidRDefault="009A55E3" w:rsidP="009A55E3">
            <w:pP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Terremoto, temblor y erupción volcánica</w:t>
            </w:r>
          </w:p>
        </w:tc>
        <w:tc>
          <w:tcPr>
            <w:tcW w:w="0" w:type="auto"/>
            <w:tcBorders>
              <w:top w:val="nil"/>
              <w:left w:val="nil"/>
              <w:bottom w:val="single" w:sz="4" w:space="0" w:color="auto"/>
              <w:right w:val="single" w:sz="4" w:space="0" w:color="auto"/>
            </w:tcBorders>
            <w:shd w:val="clear" w:color="000000" w:fill="FFFFFF"/>
            <w:vAlign w:val="center"/>
            <w:hideMark/>
          </w:tcPr>
          <w:p w14:paraId="18A3E511"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Cobertura al 100%</w:t>
            </w:r>
          </w:p>
        </w:tc>
      </w:tr>
      <w:tr w:rsidR="009A55E3" w:rsidRPr="009A55E3" w14:paraId="366B8C12" w14:textId="77777777" w:rsidTr="009A55E3">
        <w:trPr>
          <w:trHeight w:val="300"/>
        </w:trPr>
        <w:tc>
          <w:tcPr>
            <w:tcW w:w="0" w:type="auto"/>
            <w:gridSpan w:val="2"/>
            <w:tcBorders>
              <w:top w:val="nil"/>
              <w:left w:val="single" w:sz="4" w:space="0" w:color="auto"/>
              <w:bottom w:val="single" w:sz="4" w:space="0" w:color="auto"/>
              <w:right w:val="single" w:sz="4" w:space="0" w:color="auto"/>
            </w:tcBorders>
            <w:shd w:val="clear" w:color="000000" w:fill="FF0000"/>
            <w:vAlign w:val="center"/>
            <w:hideMark/>
          </w:tcPr>
          <w:p w14:paraId="6AC8DA4C" w14:textId="77777777" w:rsidR="009A55E3" w:rsidRPr="009A55E3" w:rsidRDefault="009A55E3" w:rsidP="009A55E3">
            <w:pPr>
              <w:jc w:val="both"/>
              <w:rPr>
                <w:rFonts w:ascii="Arial" w:eastAsia="Times New Roman" w:hAnsi="Arial" w:cs="Arial"/>
                <w:b/>
                <w:bCs/>
                <w:color w:val="FFFFFF"/>
                <w:sz w:val="20"/>
                <w:szCs w:val="20"/>
                <w:lang w:val="es-MX" w:eastAsia="es-MX"/>
              </w:rPr>
            </w:pPr>
            <w:r w:rsidRPr="009A55E3">
              <w:rPr>
                <w:rFonts w:ascii="Arial" w:eastAsia="Times New Roman" w:hAnsi="Arial" w:cs="Arial"/>
                <w:b/>
                <w:bCs/>
                <w:color w:val="FFFFFF"/>
                <w:sz w:val="20"/>
                <w:szCs w:val="20"/>
                <w:lang w:val="es-MX" w:eastAsia="es-MX"/>
              </w:rPr>
              <w:t>7. Cláusulas y/o condiciones adicionales.</w:t>
            </w:r>
          </w:p>
        </w:tc>
      </w:tr>
      <w:tr w:rsidR="009A55E3" w:rsidRPr="009A55E3" w14:paraId="5458D745" w14:textId="77777777" w:rsidTr="009A55E3">
        <w:trPr>
          <w:trHeight w:val="660"/>
        </w:trPr>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56E96F1F"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Para aquellas cláusulas y/o condiciones adicionales para las que no se indique sublímite se entenderá que estas operan al 100%. Para las coberturas que indiquen sublímite se entenderá que operan por evento/vigencia.</w:t>
            </w:r>
          </w:p>
        </w:tc>
      </w:tr>
      <w:tr w:rsidR="009A55E3" w:rsidRPr="009A55E3" w14:paraId="1F0F3FBF" w14:textId="77777777" w:rsidTr="009A55E3">
        <w:trPr>
          <w:trHeight w:val="1245"/>
        </w:trPr>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6F475831"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 xml:space="preserve">Cláusula de aplicación de condiciones particulares. </w:t>
            </w:r>
            <w:r w:rsidRPr="009A55E3">
              <w:rPr>
                <w:rFonts w:ascii="Arial" w:eastAsia="Times New Roman" w:hAnsi="Arial" w:cs="Arial"/>
                <w:color w:val="000000"/>
                <w:sz w:val="20"/>
                <w:szCs w:val="20"/>
                <w:lang w:val="es-MX" w:eastAsia="es-MX"/>
              </w:rPr>
              <w:t>Queda expresamente acordado y convenido, que el oferente acepta las condiciones básicas técnicas establecidas en este anexo en los términos señalados en el mismo; por lo tanto, en caso de existir discrepancia entre los ofrecimientos contenidos en las CONDICIONES BASICAS TÉCNICAS OBLIGATORIAS frente a la propuesta, los textos de los ejemplares de las pólizas, certificados, anexos o cualquier otro documento; prevalecerá la información y condiciones enunciadas en las CONDICIONES BASICAS TÉCNICAS OBLIGATORIAS establecidas.</w:t>
            </w:r>
          </w:p>
        </w:tc>
      </w:tr>
      <w:tr w:rsidR="009A55E3" w:rsidRPr="009A55E3" w14:paraId="75AA6B66" w14:textId="77777777" w:rsidTr="009A55E3">
        <w:trPr>
          <w:trHeight w:val="1275"/>
        </w:trPr>
        <w:tc>
          <w:tcPr>
            <w:tcW w:w="0" w:type="auto"/>
            <w:tcBorders>
              <w:top w:val="nil"/>
              <w:left w:val="single" w:sz="4" w:space="0" w:color="auto"/>
              <w:bottom w:val="single" w:sz="4" w:space="0" w:color="auto"/>
              <w:right w:val="nil"/>
            </w:tcBorders>
            <w:shd w:val="clear" w:color="000000" w:fill="FFFFFF"/>
            <w:vAlign w:val="center"/>
            <w:hideMark/>
          </w:tcPr>
          <w:p w14:paraId="270D4440"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Actos de autoridad</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Ampara las pérdidas o daños de los bienes asegurados, que tengan por causa o fueren consecuencia de cualquier acto de autoridad sobre los bienes objeto del seguro.</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3001820"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SI</w:t>
            </w:r>
          </w:p>
        </w:tc>
      </w:tr>
      <w:tr w:rsidR="009A55E3" w:rsidRPr="009A55E3" w14:paraId="3E0D4CA4" w14:textId="77777777" w:rsidTr="009A55E3">
        <w:trPr>
          <w:trHeight w:val="300"/>
        </w:trPr>
        <w:tc>
          <w:tcPr>
            <w:tcW w:w="0" w:type="auto"/>
            <w:tcBorders>
              <w:top w:val="nil"/>
              <w:left w:val="single" w:sz="4" w:space="0" w:color="auto"/>
              <w:bottom w:val="single" w:sz="4" w:space="0" w:color="auto"/>
              <w:right w:val="nil"/>
            </w:tcBorders>
            <w:shd w:val="clear" w:color="000000" w:fill="FFFFFF"/>
            <w:vAlign w:val="center"/>
            <w:hideMark/>
          </w:tcPr>
          <w:p w14:paraId="25E717DA"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Valor asegurado</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D8AB9F9"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Reposición a nuevo</w:t>
            </w:r>
          </w:p>
        </w:tc>
      </w:tr>
      <w:tr w:rsidR="009A55E3" w:rsidRPr="009A55E3" w14:paraId="654D7598" w14:textId="77777777" w:rsidTr="009A55E3">
        <w:trPr>
          <w:trHeight w:val="1980"/>
        </w:trPr>
        <w:tc>
          <w:tcPr>
            <w:tcW w:w="0" w:type="auto"/>
            <w:tcBorders>
              <w:top w:val="nil"/>
              <w:left w:val="single" w:sz="4" w:space="0" w:color="auto"/>
              <w:bottom w:val="single" w:sz="4" w:space="0" w:color="auto"/>
              <w:right w:val="nil"/>
            </w:tcBorders>
            <w:shd w:val="clear" w:color="000000" w:fill="FFFFFF"/>
            <w:vAlign w:val="center"/>
            <w:hideMark/>
          </w:tcPr>
          <w:p w14:paraId="1F41F87C"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lastRenderedPageBreak/>
              <w:t>Amparo automático para maquinaria y equipo de contratistas</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 xml:space="preserve">En caso de que el asegurado adquiera nueva maquinaria o equipo, el amparo se extenderá automáticamente a estos nuevos equipos hasta el límite otorgado por este amparo. El plazo máximo para aviso de es de 60 días.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0E67CC5"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$300,000,000</w:t>
            </w:r>
            <w:r w:rsidRPr="009A55E3">
              <w:rPr>
                <w:rFonts w:ascii="Arial" w:eastAsia="Times New Roman" w:hAnsi="Arial" w:cs="Arial"/>
                <w:sz w:val="20"/>
                <w:szCs w:val="20"/>
                <w:lang w:val="es-MX" w:eastAsia="es-MX"/>
              </w:rPr>
              <w:br/>
              <w:t>60 días</w:t>
            </w:r>
          </w:p>
        </w:tc>
      </w:tr>
      <w:tr w:rsidR="009A55E3" w:rsidRPr="009A55E3" w14:paraId="73DC3034" w14:textId="77777777" w:rsidTr="009A55E3">
        <w:trPr>
          <w:trHeight w:val="1785"/>
        </w:trPr>
        <w:tc>
          <w:tcPr>
            <w:tcW w:w="0" w:type="auto"/>
            <w:tcBorders>
              <w:top w:val="nil"/>
              <w:left w:val="single" w:sz="4" w:space="0" w:color="auto"/>
              <w:bottom w:val="single" w:sz="4" w:space="0" w:color="auto"/>
              <w:right w:val="nil"/>
            </w:tcBorders>
            <w:shd w:val="clear" w:color="000000" w:fill="FFFFFF"/>
            <w:vAlign w:val="center"/>
            <w:hideMark/>
          </w:tcPr>
          <w:p w14:paraId="67A534DD"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Anticipo de la indemnización, sin demostración de ocurrencia y cuantía</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Una vez ocurrida una pérdida cubierta y por solicitud escrita del asegurado, la compañía de seguros efectuará los anticipos a la indemnización aún no liquidada, mínimo 50%, que resulten necesarios y razonables según acuerden las partes.</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7E9EAA9"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Hasta el 50%</w:t>
            </w:r>
          </w:p>
        </w:tc>
      </w:tr>
      <w:tr w:rsidR="009A55E3" w:rsidRPr="009A55E3" w14:paraId="07B7FA48" w14:textId="77777777" w:rsidTr="009A55E3">
        <w:trPr>
          <w:trHeight w:val="1530"/>
        </w:trPr>
        <w:tc>
          <w:tcPr>
            <w:tcW w:w="0" w:type="auto"/>
            <w:tcBorders>
              <w:top w:val="nil"/>
              <w:left w:val="single" w:sz="4" w:space="0" w:color="auto"/>
              <w:bottom w:val="single" w:sz="4" w:space="0" w:color="auto"/>
              <w:right w:val="nil"/>
            </w:tcBorders>
            <w:shd w:val="clear" w:color="000000" w:fill="FFFFFF"/>
            <w:vAlign w:val="center"/>
            <w:hideMark/>
          </w:tcPr>
          <w:p w14:paraId="613240C9"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Ampliación del plazo para el aviso de siniestro</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La compañía de seguros conviene en ampliar el plazo otorgado al asegurado para que le comunique la ocurrencia del siniestro a 60 días calendario, contados a partir de la fecha en que lo haya conocido o debido conocer.</w:t>
            </w:r>
          </w:p>
        </w:tc>
        <w:tc>
          <w:tcPr>
            <w:tcW w:w="0" w:type="auto"/>
            <w:tcBorders>
              <w:top w:val="nil"/>
              <w:left w:val="single" w:sz="4" w:space="0" w:color="auto"/>
              <w:bottom w:val="single" w:sz="4" w:space="0" w:color="auto"/>
              <w:right w:val="single" w:sz="4" w:space="0" w:color="auto"/>
            </w:tcBorders>
            <w:vAlign w:val="center"/>
            <w:hideMark/>
          </w:tcPr>
          <w:p w14:paraId="5FEC4FA3"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60 días</w:t>
            </w:r>
          </w:p>
        </w:tc>
      </w:tr>
      <w:tr w:rsidR="009A55E3" w:rsidRPr="009A55E3" w14:paraId="038EFE7C" w14:textId="77777777" w:rsidTr="009A55E3">
        <w:trPr>
          <w:trHeight w:val="2550"/>
        </w:trPr>
        <w:tc>
          <w:tcPr>
            <w:tcW w:w="0" w:type="auto"/>
            <w:tcBorders>
              <w:top w:val="nil"/>
              <w:left w:val="single" w:sz="4" w:space="0" w:color="auto"/>
              <w:bottom w:val="single" w:sz="4" w:space="0" w:color="auto"/>
              <w:right w:val="nil"/>
            </w:tcBorders>
            <w:shd w:val="clear" w:color="000000" w:fill="FFFFFF"/>
            <w:vAlign w:val="center"/>
            <w:hideMark/>
          </w:tcPr>
          <w:p w14:paraId="38095C5F"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Cláusula de 72 horas para cualquier tipo de evento</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Cuando los daños materiales se produzcan como consecuencia de un evento amparado y varios de estos eventos ocurran dentro de un período de 72 horas consecutivas, se tendrán como un solo siniestro y las pérdidas o daños que se causen deberán estar comprendidos en una sola reclamación, sin exceder del total de la suma asegurada.</w:t>
            </w:r>
          </w:p>
        </w:tc>
        <w:tc>
          <w:tcPr>
            <w:tcW w:w="0" w:type="auto"/>
            <w:tcBorders>
              <w:top w:val="nil"/>
              <w:left w:val="single" w:sz="4" w:space="0" w:color="auto"/>
              <w:bottom w:val="single" w:sz="4" w:space="0" w:color="auto"/>
              <w:right w:val="single" w:sz="4" w:space="0" w:color="auto"/>
            </w:tcBorders>
            <w:vAlign w:val="center"/>
            <w:hideMark/>
          </w:tcPr>
          <w:p w14:paraId="5A297589"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SI</w:t>
            </w:r>
          </w:p>
        </w:tc>
      </w:tr>
      <w:tr w:rsidR="009A55E3" w:rsidRPr="009A55E3" w14:paraId="6A7A1413" w14:textId="77777777" w:rsidTr="009A55E3">
        <w:trPr>
          <w:trHeight w:val="3570"/>
        </w:trPr>
        <w:tc>
          <w:tcPr>
            <w:tcW w:w="0" w:type="auto"/>
            <w:tcBorders>
              <w:top w:val="nil"/>
              <w:left w:val="single" w:sz="4" w:space="0" w:color="auto"/>
              <w:bottom w:val="single" w:sz="4" w:space="0" w:color="auto"/>
              <w:right w:val="nil"/>
            </w:tcBorders>
            <w:shd w:val="clear" w:color="000000" w:fill="FFFFFF"/>
            <w:vAlign w:val="center"/>
            <w:hideMark/>
          </w:tcPr>
          <w:p w14:paraId="1FC59C3D"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Cláusula de ajuste de valor asegurado</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Si en el momento de ocurrir una pérdida, los bienes amparados tienen un valor superior a la suma asegurada, la compañía de seguros indemnizará sin tener en cuenta el infraseguro existente. Los valores asegurados y primas calculadas para la maquinaria y equipo amparada son provisionales y quedan sujetas a un ajuste a la terminación del mismo. El asegurado se compromete a informar a la compañía en un plazo de 60 días contados a partir de la fecha de finalización del seguro, el valor real de reposición de los equipos (según como se haya convenido al inicio de la vigencia de la póliza) y se ajustará la prima de acuerdo a las condiciones y tasas pactadas</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B0784AE"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SI</w:t>
            </w:r>
          </w:p>
        </w:tc>
      </w:tr>
      <w:tr w:rsidR="009A55E3" w:rsidRPr="009A55E3" w14:paraId="021922F1" w14:textId="77777777" w:rsidTr="009A55E3">
        <w:trPr>
          <w:trHeight w:val="2295"/>
        </w:trPr>
        <w:tc>
          <w:tcPr>
            <w:tcW w:w="0" w:type="auto"/>
            <w:tcBorders>
              <w:top w:val="nil"/>
              <w:left w:val="single" w:sz="4" w:space="0" w:color="auto"/>
              <w:bottom w:val="single" w:sz="4" w:space="0" w:color="auto"/>
              <w:right w:val="nil"/>
            </w:tcBorders>
            <w:shd w:val="clear" w:color="000000" w:fill="FFFFFF"/>
            <w:vAlign w:val="center"/>
            <w:hideMark/>
          </w:tcPr>
          <w:p w14:paraId="68610952"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lastRenderedPageBreak/>
              <w:t>Cláusula de conjuntos</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Si como consecuencia de un riesgo amparado, una máquina, pieza o equipo integrante de un conjunto, sufre daños que no permiten su reparación o reemplazo y debido a ello las demás partes o componentes del conjunto no afectado, no pueden ser utilizados o no pueden seguir funcionando, la póliza indemnizará el valor asegurado de la totalidad del conjunto inutilizado.</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6DAF889F"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SI</w:t>
            </w:r>
          </w:p>
        </w:tc>
      </w:tr>
      <w:tr w:rsidR="009A55E3" w:rsidRPr="009A55E3" w14:paraId="38CF3C98" w14:textId="77777777" w:rsidTr="009A55E3">
        <w:trPr>
          <w:trHeight w:val="1785"/>
        </w:trPr>
        <w:tc>
          <w:tcPr>
            <w:tcW w:w="0" w:type="auto"/>
            <w:tcBorders>
              <w:top w:val="nil"/>
              <w:left w:val="single" w:sz="4" w:space="0" w:color="auto"/>
              <w:bottom w:val="single" w:sz="4" w:space="0" w:color="auto"/>
              <w:right w:val="nil"/>
            </w:tcBorders>
            <w:shd w:val="clear" w:color="000000" w:fill="FFFFFF"/>
            <w:vAlign w:val="center"/>
            <w:hideMark/>
          </w:tcPr>
          <w:p w14:paraId="195E2FAD"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Cláusula de designación de bienes</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La compañía de seguros acepta y ampara los bienes con el título, nombre o denominación con el cual el asegurado identifica o describe los bienes asegurados, aún cuando su denominación no se haya hecho constar. Esta cláusula se refiere al nombre o número de las cuentas y no a su valor.</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D57B533"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Si</w:t>
            </w:r>
          </w:p>
        </w:tc>
      </w:tr>
      <w:tr w:rsidR="009A55E3" w:rsidRPr="009A55E3" w14:paraId="042D50F0" w14:textId="77777777" w:rsidTr="009A55E3">
        <w:trPr>
          <w:trHeight w:val="2805"/>
        </w:trPr>
        <w:tc>
          <w:tcPr>
            <w:tcW w:w="0" w:type="auto"/>
            <w:tcBorders>
              <w:top w:val="nil"/>
              <w:left w:val="single" w:sz="4" w:space="0" w:color="auto"/>
              <w:bottom w:val="single" w:sz="4" w:space="0" w:color="auto"/>
              <w:right w:val="nil"/>
            </w:tcBorders>
            <w:shd w:val="clear" w:color="000000" w:fill="FFFFFF"/>
            <w:vAlign w:val="center"/>
            <w:hideMark/>
          </w:tcPr>
          <w:p w14:paraId="01546F9C"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Conocimiento del riesgo</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La compañía de seguros manifiesta que conoce el riesgo y que partiendo de esta base ha hecho la tasación y ha establecido los términos y condiciones para la contratación de esta cobertura, por consiguiente deja constancia del conocimiento y aceptación de los riesgos, las circunstancias y condiciones de los mismos.</w:t>
            </w:r>
            <w:r w:rsidRPr="009A55E3">
              <w:rPr>
                <w:rFonts w:ascii="Arial" w:eastAsia="Times New Roman" w:hAnsi="Arial" w:cs="Arial"/>
                <w:color w:val="000000"/>
                <w:sz w:val="20"/>
                <w:szCs w:val="20"/>
                <w:lang w:val="es-MX" w:eastAsia="es-MX"/>
              </w:rPr>
              <w:br/>
              <w:t>La aseguradora tendrá el derecho de inspeccionar los bienes asegurados, en cualquier día y hora hábiles previa autorización por parte del asegurado.</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F4A65BA"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Si</w:t>
            </w:r>
          </w:p>
        </w:tc>
      </w:tr>
      <w:tr w:rsidR="009A55E3" w:rsidRPr="009A55E3" w14:paraId="449B50F7" w14:textId="77777777" w:rsidTr="009A55E3">
        <w:trPr>
          <w:trHeight w:val="300"/>
        </w:trPr>
        <w:tc>
          <w:tcPr>
            <w:tcW w:w="0" w:type="auto"/>
            <w:tcBorders>
              <w:top w:val="nil"/>
              <w:left w:val="single" w:sz="4" w:space="0" w:color="auto"/>
              <w:bottom w:val="single" w:sz="4" w:space="0" w:color="auto"/>
              <w:right w:val="nil"/>
            </w:tcBorders>
            <w:shd w:val="clear" w:color="000000" w:fill="FFFFFF"/>
            <w:vAlign w:val="center"/>
            <w:hideMark/>
          </w:tcPr>
          <w:p w14:paraId="5986C74A" w14:textId="678BAEAA"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Daño interno</w:t>
            </w:r>
            <w:r w:rsidR="00722B21">
              <w:rPr>
                <w:rFonts w:ascii="Arial" w:eastAsia="Times New Roman" w:hAnsi="Arial" w:cs="Arial"/>
                <w:b/>
                <w:bCs/>
                <w:sz w:val="20"/>
                <w:szCs w:val="20"/>
                <w:lang w:val="es-MX" w:eastAsia="es-MX"/>
              </w:rPr>
              <w:t>, para maquinaria con menos de 10 años.</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29837A4" w14:textId="6A9F94EB"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Sublimite de $</w:t>
            </w:r>
            <w:r w:rsidR="00722B21">
              <w:rPr>
                <w:rFonts w:ascii="Arial" w:eastAsia="Times New Roman" w:hAnsi="Arial" w:cs="Arial"/>
                <w:sz w:val="20"/>
                <w:szCs w:val="20"/>
                <w:lang w:val="es-MX" w:eastAsia="es-MX"/>
              </w:rPr>
              <w:t>3</w:t>
            </w:r>
            <w:r w:rsidRPr="009A55E3">
              <w:rPr>
                <w:rFonts w:ascii="Arial" w:eastAsia="Times New Roman" w:hAnsi="Arial" w:cs="Arial"/>
                <w:sz w:val="20"/>
                <w:szCs w:val="20"/>
                <w:lang w:val="es-MX" w:eastAsia="es-MX"/>
              </w:rPr>
              <w:t>00,000,000 Evento / Vigencia</w:t>
            </w:r>
          </w:p>
        </w:tc>
      </w:tr>
      <w:tr w:rsidR="009A55E3" w:rsidRPr="009A55E3" w14:paraId="22ACCE3A" w14:textId="77777777" w:rsidTr="009A55E3">
        <w:trPr>
          <w:trHeight w:val="1530"/>
        </w:trPr>
        <w:tc>
          <w:tcPr>
            <w:tcW w:w="0" w:type="auto"/>
            <w:tcBorders>
              <w:top w:val="nil"/>
              <w:left w:val="single" w:sz="4" w:space="0" w:color="auto"/>
              <w:bottom w:val="single" w:sz="4" w:space="0" w:color="auto"/>
              <w:right w:val="nil"/>
            </w:tcBorders>
            <w:shd w:val="clear" w:color="000000" w:fill="FFFFFF"/>
            <w:vAlign w:val="center"/>
            <w:hideMark/>
          </w:tcPr>
          <w:p w14:paraId="157DEB06"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Deducible en caso de siniestro</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En el evento de un siniestro que de lugar a la afectación de varios amparos, que a su vez generen la aplicación de diversos deducibles, únicamente se aplicará el deducible correspondiente al evento inicial y generador del siniestro.</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AAE101C"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SI</w:t>
            </w:r>
          </w:p>
        </w:tc>
      </w:tr>
      <w:tr w:rsidR="009A55E3" w:rsidRPr="009A55E3" w14:paraId="2B0F3A5A" w14:textId="77777777" w:rsidTr="009A55E3">
        <w:trPr>
          <w:trHeight w:val="1275"/>
        </w:trPr>
        <w:tc>
          <w:tcPr>
            <w:tcW w:w="0" w:type="auto"/>
            <w:tcBorders>
              <w:top w:val="nil"/>
              <w:left w:val="single" w:sz="4" w:space="0" w:color="auto"/>
              <w:bottom w:val="single" w:sz="4" w:space="0" w:color="auto"/>
              <w:right w:val="nil"/>
            </w:tcBorders>
            <w:shd w:val="clear" w:color="000000" w:fill="FFFFFF"/>
            <w:vAlign w:val="center"/>
            <w:hideMark/>
          </w:tcPr>
          <w:p w14:paraId="5A70488E"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Designación de ajustador</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En caso de siniestros amparados que requieran la asignación de un perito ajustador, la compañía de seguros efectuará su contratación previo acuerdo con el asegurado.</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09C6659"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Si</w:t>
            </w:r>
          </w:p>
        </w:tc>
      </w:tr>
      <w:tr w:rsidR="009A55E3" w:rsidRPr="009A55E3" w14:paraId="3C1BD81F" w14:textId="77777777" w:rsidTr="009A55E3">
        <w:trPr>
          <w:trHeight w:val="1020"/>
        </w:trPr>
        <w:tc>
          <w:tcPr>
            <w:tcW w:w="0" w:type="auto"/>
            <w:tcBorders>
              <w:top w:val="nil"/>
              <w:left w:val="single" w:sz="4" w:space="0" w:color="auto"/>
              <w:bottom w:val="single" w:sz="4" w:space="0" w:color="auto"/>
              <w:right w:val="nil"/>
            </w:tcBorders>
            <w:shd w:val="clear" w:color="000000" w:fill="FFFFFF"/>
            <w:vAlign w:val="center"/>
            <w:hideMark/>
          </w:tcPr>
          <w:p w14:paraId="023E5642"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Equipos y partes no específicamente descritos</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Cubrirá todos los elementos principales, partes y accesorios que integran los equipos. No obstante, no se hayan discriminado ni descrito detalladamente.</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C7FC100"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Estos no podrán superar el 20% del valor asegurado total del item afectado.</w:t>
            </w:r>
          </w:p>
        </w:tc>
      </w:tr>
      <w:tr w:rsidR="009A55E3" w:rsidRPr="009A55E3" w14:paraId="58FE8F19" w14:textId="77777777" w:rsidTr="009A55E3">
        <w:trPr>
          <w:trHeight w:val="2040"/>
        </w:trPr>
        <w:tc>
          <w:tcPr>
            <w:tcW w:w="0" w:type="auto"/>
            <w:tcBorders>
              <w:top w:val="nil"/>
              <w:left w:val="single" w:sz="4" w:space="0" w:color="auto"/>
              <w:bottom w:val="single" w:sz="4" w:space="0" w:color="auto"/>
              <w:right w:val="nil"/>
            </w:tcBorders>
            <w:shd w:val="clear" w:color="000000" w:fill="FFFFFF"/>
            <w:vAlign w:val="center"/>
            <w:hideMark/>
          </w:tcPr>
          <w:p w14:paraId="133EF3CF"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lastRenderedPageBreak/>
              <w:t>Errores, omisiones e inexactitudes no intencionales</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Para los errores, las inexactitudes o la reticencia que provienen de errores inculpables del tomador o del asegurado, el contrato no será nulo ni habrá lugar para la reducción porcentual de la prestación asegurada. En este caso, se deberá pagar la prima adecuada al verdadero estado del riesgo.</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11BF7CE"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Si</w:t>
            </w:r>
          </w:p>
        </w:tc>
      </w:tr>
      <w:tr w:rsidR="009A55E3" w:rsidRPr="009A55E3" w14:paraId="767CBA14" w14:textId="77777777" w:rsidTr="009A55E3">
        <w:trPr>
          <w:trHeight w:val="1785"/>
        </w:trPr>
        <w:tc>
          <w:tcPr>
            <w:tcW w:w="0" w:type="auto"/>
            <w:tcBorders>
              <w:top w:val="nil"/>
              <w:left w:val="single" w:sz="4" w:space="0" w:color="auto"/>
              <w:bottom w:val="single" w:sz="4" w:space="0" w:color="auto"/>
              <w:right w:val="nil"/>
            </w:tcBorders>
            <w:shd w:val="clear" w:color="000000" w:fill="FFFFFF"/>
            <w:vAlign w:val="center"/>
            <w:hideMark/>
          </w:tcPr>
          <w:p w14:paraId="38C49643"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Adhesión o modificaciones en beneficio del Asegurado</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Si durante la vigencia se presentan modificaciones en las condiciones, legalmente aprobadas, que representen un beneficio a favor del asegurado, tales modificaciones se consideran automáticamente incorporardas en la póliza.</w:t>
            </w:r>
          </w:p>
        </w:tc>
        <w:tc>
          <w:tcPr>
            <w:tcW w:w="0" w:type="auto"/>
            <w:tcBorders>
              <w:top w:val="nil"/>
              <w:left w:val="single" w:sz="4" w:space="0" w:color="auto"/>
              <w:bottom w:val="single" w:sz="4" w:space="0" w:color="auto"/>
              <w:right w:val="single" w:sz="4" w:space="0" w:color="auto"/>
            </w:tcBorders>
            <w:vAlign w:val="center"/>
            <w:hideMark/>
          </w:tcPr>
          <w:p w14:paraId="68C55C8F"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Si</w:t>
            </w:r>
          </w:p>
        </w:tc>
      </w:tr>
      <w:tr w:rsidR="009A55E3" w:rsidRPr="009A55E3" w14:paraId="4FA09F52" w14:textId="77777777" w:rsidTr="009A55E3">
        <w:trPr>
          <w:trHeight w:val="1530"/>
        </w:trPr>
        <w:tc>
          <w:tcPr>
            <w:tcW w:w="0" w:type="auto"/>
            <w:tcBorders>
              <w:top w:val="nil"/>
              <w:left w:val="single" w:sz="4" w:space="0" w:color="auto"/>
              <w:bottom w:val="single" w:sz="4" w:space="0" w:color="auto"/>
              <w:right w:val="nil"/>
            </w:tcBorders>
            <w:shd w:val="clear" w:color="000000" w:fill="FFFFFF"/>
            <w:vAlign w:val="center"/>
            <w:hideMark/>
          </w:tcPr>
          <w:p w14:paraId="29FB9331"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Movilizaciones por sus propios medios</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Se cubren los daños o perdidas de los bienes asegurados mientras estos se movilicen por sus propios medios de acuerdo con sus caracteristicas y dentro de su radio de operación, no mayor a 100 km a la redonda.</w:t>
            </w:r>
          </w:p>
        </w:tc>
        <w:tc>
          <w:tcPr>
            <w:tcW w:w="0" w:type="auto"/>
            <w:tcBorders>
              <w:top w:val="nil"/>
              <w:left w:val="single" w:sz="4" w:space="0" w:color="auto"/>
              <w:bottom w:val="single" w:sz="4" w:space="0" w:color="auto"/>
              <w:right w:val="single" w:sz="4" w:space="0" w:color="auto"/>
            </w:tcBorders>
            <w:vAlign w:val="center"/>
            <w:hideMark/>
          </w:tcPr>
          <w:p w14:paraId="334A9771"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SI</w:t>
            </w:r>
          </w:p>
        </w:tc>
      </w:tr>
      <w:tr w:rsidR="009A55E3" w:rsidRPr="009A55E3" w14:paraId="601772AF" w14:textId="77777777" w:rsidTr="009A55E3">
        <w:trPr>
          <w:trHeight w:val="3315"/>
        </w:trPr>
        <w:tc>
          <w:tcPr>
            <w:tcW w:w="0" w:type="auto"/>
            <w:tcBorders>
              <w:top w:val="nil"/>
              <w:left w:val="single" w:sz="4" w:space="0" w:color="auto"/>
              <w:bottom w:val="single" w:sz="4" w:space="0" w:color="auto"/>
              <w:right w:val="nil"/>
            </w:tcBorders>
            <w:shd w:val="clear" w:color="000000" w:fill="FFFFFF"/>
            <w:vAlign w:val="center"/>
            <w:hideMark/>
          </w:tcPr>
          <w:p w14:paraId="600CDB63"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Movilizaciones Nacionales</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El transporte o movilización de la maquinaria o equipo se deberá realizar en vehículos afiliados a una empresa transportadora legalmente constituida y con vehiculos apropiados para la movilización de este tipo de bienes o en vehículos  de propiedad del Asegurado en todo en todo el territorio colombiano.  Se acepta todos los medios de transporte</w:t>
            </w:r>
          </w:p>
        </w:tc>
        <w:tc>
          <w:tcPr>
            <w:tcW w:w="0" w:type="auto"/>
            <w:tcBorders>
              <w:top w:val="nil"/>
              <w:left w:val="single" w:sz="4" w:space="0" w:color="auto"/>
              <w:bottom w:val="single" w:sz="4" w:space="0" w:color="auto"/>
              <w:right w:val="single" w:sz="4" w:space="0" w:color="auto"/>
            </w:tcBorders>
            <w:vAlign w:val="center"/>
            <w:hideMark/>
          </w:tcPr>
          <w:p w14:paraId="6849538F"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Sin previo aviso para maquinaria solamente en camabaja (o en camión si se trata de maquinaria liviana) en todo el territorio nacional con un límite de  $600.000 000 por camión o en caso caravanas. Caravanas: Entendiéndose por caravanas convoy de dos o mas vehículos despachados por el asegurado y que se movilizan uno detrás de otro.  Se excluyen los daños o pérdidas, que se presenten en los bienes cuando su transporte se realice por vía aérea, marítima o fluvial.</w:t>
            </w:r>
            <w:r w:rsidRPr="009A55E3">
              <w:rPr>
                <w:rFonts w:ascii="Arial" w:eastAsia="Times New Roman" w:hAnsi="Arial" w:cs="Arial"/>
                <w:sz w:val="20"/>
                <w:szCs w:val="20"/>
                <w:lang w:val="es-MX" w:eastAsia="es-MX"/>
              </w:rPr>
              <w:br/>
            </w:r>
            <w:r w:rsidRPr="009A55E3">
              <w:rPr>
                <w:rFonts w:ascii="Arial" w:eastAsia="Times New Roman" w:hAnsi="Arial" w:cs="Arial"/>
                <w:i/>
                <w:iCs/>
                <w:sz w:val="20"/>
                <w:szCs w:val="20"/>
                <w:lang w:val="es-MX" w:eastAsia="es-MX"/>
              </w:rPr>
              <w:t xml:space="preserve">Nota :“Queda claro y convenido que la presente póliza se extiende a amparar todas las movilizaciones de la maquinaria asegurada a partir del momento en que los equipos se encuentren en las instalaciones del Asegurado, en instalaciones de terceros, sitios donde el asegurado los tenga almacenados y/o parqueados ó desde y hasta las obras donde  trabajaran </w:t>
            </w:r>
            <w:r w:rsidRPr="009A55E3">
              <w:rPr>
                <w:rFonts w:ascii="Arial" w:eastAsia="Times New Roman" w:hAnsi="Arial" w:cs="Arial"/>
                <w:i/>
                <w:iCs/>
                <w:sz w:val="20"/>
                <w:szCs w:val="20"/>
                <w:lang w:val="es-MX" w:eastAsia="es-MX"/>
              </w:rPr>
              <w:lastRenderedPageBreak/>
              <w:t>tales equipos, siempre y cuando se encuentre dentro de limite de la cobertura automática o sea debidamente reportado o informado a la aseguradora. Es decir, la presente póliza no ampara bajo la cobertura de movilización, el transporte de los equipos cuando estos salgan de los puertos, aeropuertos o puntos de venta de los proveedores al lugar donde van a operar o ser parqueados, al ser este trayecto objeto de la cobertura en una póliza de transportes.”</w:t>
            </w:r>
          </w:p>
        </w:tc>
      </w:tr>
      <w:tr w:rsidR="009A55E3" w:rsidRPr="009A55E3" w14:paraId="792E8029" w14:textId="77777777" w:rsidTr="009A55E3">
        <w:trPr>
          <w:trHeight w:val="2550"/>
        </w:trPr>
        <w:tc>
          <w:tcPr>
            <w:tcW w:w="0" w:type="auto"/>
            <w:tcBorders>
              <w:top w:val="nil"/>
              <w:left w:val="single" w:sz="4" w:space="0" w:color="auto"/>
              <w:bottom w:val="single" w:sz="4" w:space="0" w:color="auto"/>
              <w:right w:val="nil"/>
            </w:tcBorders>
            <w:vAlign w:val="center"/>
            <w:hideMark/>
          </w:tcPr>
          <w:p w14:paraId="7E978654" w14:textId="643EDB66" w:rsidR="009A55E3" w:rsidRPr="009A55E3" w:rsidRDefault="00165A4A"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lastRenderedPageBreak/>
              <w:t>Restablecimiento</w:t>
            </w:r>
            <w:r w:rsidR="009A55E3" w:rsidRPr="009A55E3">
              <w:rPr>
                <w:rFonts w:ascii="Arial" w:eastAsia="Times New Roman" w:hAnsi="Arial" w:cs="Arial"/>
                <w:b/>
                <w:bCs/>
                <w:sz w:val="20"/>
                <w:szCs w:val="20"/>
                <w:lang w:val="es-MX" w:eastAsia="es-MX"/>
              </w:rPr>
              <w:t xml:space="preserve"> automático del valor asegurado por pago de siniestro</w:t>
            </w:r>
            <w:r w:rsidR="009A55E3" w:rsidRPr="009A55E3">
              <w:rPr>
                <w:rFonts w:ascii="Arial" w:eastAsia="Times New Roman" w:hAnsi="Arial" w:cs="Arial"/>
                <w:b/>
                <w:bCs/>
                <w:sz w:val="20"/>
                <w:szCs w:val="20"/>
                <w:lang w:val="es-MX" w:eastAsia="es-MX"/>
              </w:rPr>
              <w:br/>
            </w:r>
            <w:r w:rsidR="009A55E3" w:rsidRPr="009A55E3">
              <w:rPr>
                <w:rFonts w:ascii="Arial" w:eastAsia="Times New Roman" w:hAnsi="Arial" w:cs="Arial"/>
                <w:color w:val="000000"/>
                <w:sz w:val="20"/>
                <w:szCs w:val="20"/>
                <w:lang w:val="es-MX" w:eastAsia="es-MX"/>
              </w:rPr>
              <w:t>La suma asegurada se entenderá reducida desde el momento del siniestro en el importe de la indemnización pagada por la compañía de seguros. Sin embargo, la suma asegurada se entenderá restablecida automáticamente desde el momento en que se inicie la reparación, reposición o reemplazo de los bienes siniestrados, en el importe correspondiente.</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16092DCB"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SI</w:t>
            </w:r>
          </w:p>
        </w:tc>
      </w:tr>
      <w:tr w:rsidR="009A55E3" w:rsidRPr="009A55E3" w14:paraId="22965235" w14:textId="77777777" w:rsidTr="009A55E3">
        <w:trPr>
          <w:trHeight w:val="510"/>
        </w:trPr>
        <w:tc>
          <w:tcPr>
            <w:tcW w:w="0" w:type="auto"/>
            <w:tcBorders>
              <w:top w:val="nil"/>
              <w:left w:val="single" w:sz="4" w:space="0" w:color="auto"/>
              <w:bottom w:val="single" w:sz="4" w:space="0" w:color="auto"/>
              <w:right w:val="nil"/>
            </w:tcBorders>
            <w:vAlign w:val="center"/>
            <w:hideMark/>
          </w:tcPr>
          <w:p w14:paraId="07F7A6AD"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Reposición o reemplazo para equipo y Maquinaria con edad inferior a 5 años</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2C1DF0A"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Si</w:t>
            </w:r>
          </w:p>
        </w:tc>
      </w:tr>
      <w:tr w:rsidR="009A55E3" w:rsidRPr="009A55E3" w14:paraId="1B3FA630" w14:textId="77777777" w:rsidTr="009A55E3">
        <w:trPr>
          <w:trHeight w:val="765"/>
        </w:trPr>
        <w:tc>
          <w:tcPr>
            <w:tcW w:w="0" w:type="auto"/>
            <w:tcBorders>
              <w:top w:val="nil"/>
              <w:left w:val="single" w:sz="4" w:space="0" w:color="auto"/>
              <w:bottom w:val="single" w:sz="4" w:space="0" w:color="auto"/>
              <w:right w:val="nil"/>
            </w:tcBorders>
            <w:vAlign w:val="center"/>
            <w:hideMark/>
          </w:tcPr>
          <w:p w14:paraId="7BDC9158"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Responsabilidad civil extracontractual: incluye perjuicios patrimoniales y extrapatrimoniales (teniendo en cuenta lucro cesante de la victima)</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7C0D1DB"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$500.000.000 Evento / Vigencia</w:t>
            </w:r>
          </w:p>
        </w:tc>
      </w:tr>
      <w:tr w:rsidR="009A55E3" w:rsidRPr="009A55E3" w14:paraId="50668AFA" w14:textId="77777777" w:rsidTr="009A55E3">
        <w:trPr>
          <w:trHeight w:val="1785"/>
        </w:trPr>
        <w:tc>
          <w:tcPr>
            <w:tcW w:w="0" w:type="auto"/>
            <w:tcBorders>
              <w:top w:val="nil"/>
              <w:left w:val="single" w:sz="4" w:space="0" w:color="auto"/>
              <w:bottom w:val="single" w:sz="4" w:space="0" w:color="auto"/>
              <w:right w:val="nil"/>
            </w:tcBorders>
            <w:vAlign w:val="center"/>
            <w:hideMark/>
          </w:tcPr>
          <w:p w14:paraId="73D73AED"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Revocación de la póliza</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 xml:space="preserve">La compañía de seguros podrá revocar o no renovar la póliza o alguno de sus amparos adicionales, o modificar sus condiciones en cualquier tiempo, pero deberá dar aviso por escrito al asegurado sobre ésta determinación, con una anticipación de 60 días calendario.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22FC9ED8"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60 días</w:t>
            </w:r>
          </w:p>
        </w:tc>
      </w:tr>
      <w:tr w:rsidR="009A55E3" w:rsidRPr="009A55E3" w14:paraId="701036D4" w14:textId="77777777" w:rsidTr="009A55E3">
        <w:trPr>
          <w:trHeight w:val="3315"/>
        </w:trPr>
        <w:tc>
          <w:tcPr>
            <w:tcW w:w="0" w:type="auto"/>
            <w:tcBorders>
              <w:top w:val="nil"/>
              <w:left w:val="single" w:sz="4" w:space="0" w:color="auto"/>
              <w:bottom w:val="single" w:sz="4" w:space="0" w:color="auto"/>
              <w:right w:val="nil"/>
            </w:tcBorders>
            <w:vAlign w:val="center"/>
            <w:hideMark/>
          </w:tcPr>
          <w:p w14:paraId="08EE6FBE"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lastRenderedPageBreak/>
              <w:t>Derechos sobre el salvamento</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En el evento que se recobre alguna suma proveniente de la venta de salvamentos respecto de cualquier pérdida indemnizada por la compañía de seguros, el asegurado participará de tal recuperación en la misma proporción en la que hubiere participado de la perdida, teniendo en cuenta el deducible y el infraseguro, cuando hubiere lugar a ellos.</w:t>
            </w:r>
            <w:r w:rsidRPr="009A55E3">
              <w:rPr>
                <w:rFonts w:ascii="Arial" w:eastAsia="Times New Roman" w:hAnsi="Arial" w:cs="Arial"/>
                <w:color w:val="000000"/>
                <w:sz w:val="20"/>
                <w:szCs w:val="20"/>
                <w:lang w:val="es-MX" w:eastAsia="es-MX"/>
              </w:rPr>
              <w:br/>
              <w:t>Se entiende por salvamento neto el valor resultante de descontar del valor de venta del mismo, los gastos aplicados por la compañía de seguros, tales como: los necesarios para su recuperación y comercialización.</w:t>
            </w:r>
          </w:p>
        </w:tc>
        <w:tc>
          <w:tcPr>
            <w:tcW w:w="0" w:type="auto"/>
            <w:tcBorders>
              <w:top w:val="nil"/>
              <w:left w:val="single" w:sz="4" w:space="0" w:color="auto"/>
              <w:bottom w:val="single" w:sz="4" w:space="0" w:color="auto"/>
              <w:right w:val="single" w:sz="4" w:space="0" w:color="auto"/>
            </w:tcBorders>
            <w:vAlign w:val="center"/>
            <w:hideMark/>
          </w:tcPr>
          <w:p w14:paraId="3E41741C"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Si</w:t>
            </w:r>
          </w:p>
        </w:tc>
      </w:tr>
      <w:tr w:rsidR="009A55E3" w:rsidRPr="009A55E3" w14:paraId="0E9CE5FC" w14:textId="77777777" w:rsidTr="009A55E3">
        <w:trPr>
          <w:trHeight w:val="4590"/>
        </w:trPr>
        <w:tc>
          <w:tcPr>
            <w:tcW w:w="0" w:type="auto"/>
            <w:tcBorders>
              <w:top w:val="nil"/>
              <w:left w:val="single" w:sz="4" w:space="0" w:color="auto"/>
              <w:bottom w:val="single" w:sz="4" w:space="0" w:color="auto"/>
              <w:right w:val="nil"/>
            </w:tcBorders>
            <w:vAlign w:val="center"/>
            <w:hideMark/>
          </w:tcPr>
          <w:p w14:paraId="391448FE"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Subrogación</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En virtud del pago de la indemnización, la compañía de seguros se subroga hasta el valor de su importe en todos los derechos del asegurado contra las personas responsables del siniestro. El asegurado no podrá renunciar en ningún momento a sus derechos contra terceros responsables del siniestro. Tal renuncia le acarreará la pérdida del derecho a la indemnización. La compañía renuncia expresamente a ejercer sus derechos de subrogación contra:</w:t>
            </w:r>
            <w:r w:rsidRPr="009A55E3">
              <w:rPr>
                <w:rFonts w:ascii="Arial" w:eastAsia="Times New Roman" w:hAnsi="Arial" w:cs="Arial"/>
                <w:color w:val="000000"/>
                <w:sz w:val="20"/>
                <w:szCs w:val="20"/>
                <w:lang w:val="es-MX" w:eastAsia="es-MX"/>
              </w:rPr>
              <w:br/>
              <w:t>- Cualquier persona o entidad que sea un asegurado bajo la póliza</w:t>
            </w:r>
            <w:r w:rsidRPr="009A55E3">
              <w:rPr>
                <w:rFonts w:ascii="Arial" w:eastAsia="Times New Roman" w:hAnsi="Arial" w:cs="Arial"/>
                <w:color w:val="000000"/>
                <w:sz w:val="20"/>
                <w:szCs w:val="20"/>
                <w:lang w:val="es-MX" w:eastAsia="es-MX"/>
              </w:rPr>
              <w:br/>
              <w:t>- Cualquier filial, subsidiaria y operadora del asegurado.</w:t>
            </w:r>
            <w:r w:rsidRPr="009A55E3">
              <w:rPr>
                <w:rFonts w:ascii="Arial" w:eastAsia="Times New Roman" w:hAnsi="Arial" w:cs="Arial"/>
                <w:color w:val="000000"/>
                <w:sz w:val="20"/>
                <w:szCs w:val="20"/>
                <w:lang w:val="es-MX" w:eastAsia="es-MX"/>
              </w:rPr>
              <w:br/>
              <w:t>- Cualquier socio, miembro de junta directiva o cualquier empleado o dependiente del asegurado, salvo el caso en que los daños hayan sido causados intencionalmente por ellos.</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A411A5A"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SI</w:t>
            </w:r>
          </w:p>
        </w:tc>
      </w:tr>
      <w:tr w:rsidR="009A55E3" w:rsidRPr="009A55E3" w14:paraId="244AB479" w14:textId="77777777" w:rsidTr="009A55E3">
        <w:trPr>
          <w:trHeight w:val="300"/>
        </w:trPr>
        <w:tc>
          <w:tcPr>
            <w:tcW w:w="0" w:type="auto"/>
            <w:gridSpan w:val="2"/>
            <w:tcBorders>
              <w:top w:val="single" w:sz="4" w:space="0" w:color="auto"/>
              <w:left w:val="single" w:sz="4" w:space="0" w:color="auto"/>
              <w:bottom w:val="single" w:sz="4" w:space="0" w:color="auto"/>
              <w:right w:val="single" w:sz="4" w:space="0" w:color="auto"/>
            </w:tcBorders>
            <w:shd w:val="clear" w:color="000000" w:fill="FF0000"/>
            <w:vAlign w:val="center"/>
            <w:hideMark/>
          </w:tcPr>
          <w:p w14:paraId="342FAE9E" w14:textId="77777777" w:rsidR="009A55E3" w:rsidRPr="009A55E3" w:rsidRDefault="009A55E3" w:rsidP="009A55E3">
            <w:pPr>
              <w:jc w:val="both"/>
              <w:rPr>
                <w:rFonts w:ascii="Arial" w:eastAsia="Times New Roman" w:hAnsi="Arial" w:cs="Arial"/>
                <w:b/>
                <w:bCs/>
                <w:color w:val="FFFFFF"/>
                <w:sz w:val="20"/>
                <w:szCs w:val="20"/>
                <w:lang w:val="es-MX" w:eastAsia="es-MX"/>
              </w:rPr>
            </w:pPr>
            <w:r w:rsidRPr="009A55E3">
              <w:rPr>
                <w:rFonts w:ascii="Arial" w:eastAsia="Times New Roman" w:hAnsi="Arial" w:cs="Arial"/>
                <w:b/>
                <w:bCs/>
                <w:color w:val="FFFFFF"/>
                <w:sz w:val="20"/>
                <w:szCs w:val="20"/>
                <w:lang w:val="es-MX" w:eastAsia="es-MX"/>
              </w:rPr>
              <w:t>8. Gastos Adicionales</w:t>
            </w:r>
          </w:p>
        </w:tc>
      </w:tr>
      <w:tr w:rsidR="009A55E3" w:rsidRPr="009A55E3" w14:paraId="7D8DC58F" w14:textId="77777777" w:rsidTr="009A55E3">
        <w:trPr>
          <w:trHeight w:val="108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0FA4DF6" w14:textId="77777777" w:rsidR="009A55E3" w:rsidRPr="009A55E3" w:rsidRDefault="009A55E3" w:rsidP="009A55E3">
            <w:pPr>
              <w:jc w:val="both"/>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 xml:space="preserve">La póliza se extiende a amparar los siguientes gastos en que razonablemente incurra la Entidad. </w:t>
            </w:r>
            <w:r w:rsidRPr="009A55E3">
              <w:rPr>
                <w:rFonts w:ascii="Arial" w:eastAsia="Times New Roman" w:hAnsi="Arial" w:cs="Arial"/>
                <w:sz w:val="20"/>
                <w:szCs w:val="20"/>
                <w:lang w:val="es-MX" w:eastAsia="es-MX"/>
              </w:rPr>
              <w:br/>
              <w:t>- Para los gastos relacionados a continuación no aplican deducibles</w:t>
            </w:r>
            <w:r w:rsidRPr="009A55E3">
              <w:rPr>
                <w:rFonts w:ascii="Arial" w:eastAsia="Times New Roman" w:hAnsi="Arial" w:cs="Arial"/>
                <w:sz w:val="20"/>
                <w:szCs w:val="20"/>
                <w:lang w:val="es-MX" w:eastAsia="es-MX"/>
              </w:rPr>
              <w:br/>
              <w:t xml:space="preserve">- Estos gastos aplican como sublimite y estan dentro del valor asegurado </w:t>
            </w:r>
          </w:p>
        </w:tc>
      </w:tr>
      <w:tr w:rsidR="009A55E3" w:rsidRPr="009A55E3" w14:paraId="5F423E4B" w14:textId="77777777" w:rsidTr="009A55E3">
        <w:trPr>
          <w:trHeight w:val="1530"/>
        </w:trPr>
        <w:tc>
          <w:tcPr>
            <w:tcW w:w="0" w:type="auto"/>
            <w:tcBorders>
              <w:top w:val="nil"/>
              <w:left w:val="single" w:sz="4" w:space="0" w:color="auto"/>
              <w:bottom w:val="single" w:sz="4" w:space="0" w:color="auto"/>
              <w:right w:val="nil"/>
            </w:tcBorders>
            <w:vAlign w:val="center"/>
            <w:hideMark/>
          </w:tcPr>
          <w:p w14:paraId="42E0EE11"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Gastos adicionales  para la demostración de la ocurrencia y cuantía de la pérdida</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 xml:space="preserve">Se cubren hasta el 100% de los gastos y costos en que necesaria y razonablemente incurra el asegurado para la demostración de la ocurrencia y cuantía del siniestro.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A19EA67"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 xml:space="preserve"> COP 200.000.000 </w:t>
            </w:r>
          </w:p>
        </w:tc>
      </w:tr>
      <w:tr w:rsidR="009A55E3" w:rsidRPr="009A55E3" w14:paraId="621810CF" w14:textId="77777777" w:rsidTr="009A55E3">
        <w:trPr>
          <w:trHeight w:val="2550"/>
        </w:trPr>
        <w:tc>
          <w:tcPr>
            <w:tcW w:w="0" w:type="auto"/>
            <w:tcBorders>
              <w:top w:val="nil"/>
              <w:left w:val="single" w:sz="4" w:space="0" w:color="auto"/>
              <w:bottom w:val="single" w:sz="4" w:space="0" w:color="auto"/>
              <w:right w:val="nil"/>
            </w:tcBorders>
            <w:vAlign w:val="center"/>
            <w:hideMark/>
          </w:tcPr>
          <w:p w14:paraId="0B5CAB06"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lastRenderedPageBreak/>
              <w:t>Gastos de desmontaje y remoción de escombros</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La aseguradora indemnizará al asegurado por el 100% los gastos en que razonablemente incurra, generados por concepto de desmontaje y remoción de escombros que sean necesarios después de ocurrir un siniestro cubierto. Se incluye dentro de la cobertura, el costo de la limpieza y remoción, incluidos los elementos ajenos o contaminantes, siempre que su origen se deba a un evento que esté cubierto.</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D19CE9B"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 xml:space="preserve"> COP 200.000.000 </w:t>
            </w:r>
          </w:p>
        </w:tc>
      </w:tr>
      <w:tr w:rsidR="009A55E3" w:rsidRPr="009A55E3" w14:paraId="48FC90DC" w14:textId="77777777" w:rsidTr="009A55E3">
        <w:trPr>
          <w:trHeight w:val="2295"/>
        </w:trPr>
        <w:tc>
          <w:tcPr>
            <w:tcW w:w="0" w:type="auto"/>
            <w:tcBorders>
              <w:top w:val="nil"/>
              <w:left w:val="single" w:sz="4" w:space="0" w:color="auto"/>
              <w:bottom w:val="single" w:sz="4" w:space="0" w:color="auto"/>
              <w:right w:val="nil"/>
            </w:tcBorders>
            <w:vAlign w:val="center"/>
            <w:hideMark/>
          </w:tcPr>
          <w:p w14:paraId="5049C2D2"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Gastos adicionales por horas extras, flete expreso y flete aéreo, trabajo nocturno, trabajo en días feriados</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Se extiende a cubrir el 100% de los gastos en que necesaria y razonablemente incurra el asegurado como consecuencia de pérdidas o daños por concepto de horas extras, trabajo nocturno, trabajo en días feriados y fletes expresos incluyendo los fletes aéreos.</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8C3C22A"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 xml:space="preserve"> COP 200.000.000 </w:t>
            </w:r>
          </w:p>
        </w:tc>
      </w:tr>
      <w:tr w:rsidR="009A55E3" w:rsidRPr="009A55E3" w14:paraId="7A5F588F" w14:textId="77777777" w:rsidTr="009A55E3">
        <w:trPr>
          <w:trHeight w:val="2040"/>
        </w:trPr>
        <w:tc>
          <w:tcPr>
            <w:tcW w:w="0" w:type="auto"/>
            <w:tcBorders>
              <w:top w:val="nil"/>
              <w:left w:val="single" w:sz="4" w:space="0" w:color="auto"/>
              <w:bottom w:val="single" w:sz="4" w:space="0" w:color="auto"/>
              <w:right w:val="nil"/>
            </w:tcBorders>
            <w:vAlign w:val="center"/>
            <w:hideMark/>
          </w:tcPr>
          <w:p w14:paraId="1C4E2C54"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Gastos para la preservación de bienes y/o extinción de incendio</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 xml:space="preserve">Se extiende a cubrir el 100% de los gastos en que necesaria y razonablemente incurra el asegurado como consecuencia del siniestro, con el fin de salvar, preservar o conservar los bienes amparados, así como para extinguir o evitar la propagación del siniestro.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7E075546"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 xml:space="preserve"> COP 200.000.000 </w:t>
            </w:r>
          </w:p>
        </w:tc>
      </w:tr>
      <w:tr w:rsidR="009A55E3" w:rsidRPr="009A55E3" w14:paraId="24E8F7FE" w14:textId="77777777" w:rsidTr="009A55E3">
        <w:trPr>
          <w:trHeight w:val="510"/>
        </w:trPr>
        <w:tc>
          <w:tcPr>
            <w:tcW w:w="0" w:type="auto"/>
            <w:tcBorders>
              <w:top w:val="nil"/>
              <w:left w:val="single" w:sz="4" w:space="0" w:color="auto"/>
              <w:bottom w:val="single" w:sz="4" w:space="0" w:color="auto"/>
              <w:right w:val="nil"/>
            </w:tcBorders>
            <w:shd w:val="clear" w:color="000000" w:fill="FFFFFF"/>
            <w:vAlign w:val="center"/>
            <w:hideMark/>
          </w:tcPr>
          <w:p w14:paraId="36D56926"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 xml:space="preserve">Gastos de recuperación o rescate de la maquinaria o equipo siniestrado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42FB2BE"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Límite de $50.000.000 evento / $100.000.000 vigencia</w:t>
            </w:r>
          </w:p>
        </w:tc>
      </w:tr>
      <w:tr w:rsidR="009A55E3" w:rsidRPr="009A55E3" w14:paraId="040D76BE" w14:textId="77777777" w:rsidTr="009A55E3">
        <w:trPr>
          <w:trHeight w:val="300"/>
        </w:trPr>
        <w:tc>
          <w:tcPr>
            <w:tcW w:w="0" w:type="auto"/>
            <w:tcBorders>
              <w:top w:val="nil"/>
              <w:left w:val="single" w:sz="4" w:space="0" w:color="auto"/>
              <w:bottom w:val="single" w:sz="4" w:space="0" w:color="auto"/>
              <w:right w:val="nil"/>
            </w:tcBorders>
            <w:shd w:val="clear" w:color="000000" w:fill="FFFFFF"/>
            <w:vAlign w:val="center"/>
            <w:hideMark/>
          </w:tcPr>
          <w:p w14:paraId="187EA45E"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Gastos adicionales del siniestro</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D745C80"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COP 50.000.000</w:t>
            </w:r>
          </w:p>
        </w:tc>
      </w:tr>
      <w:tr w:rsidR="009A55E3" w:rsidRPr="009A55E3" w14:paraId="4E937FCA" w14:textId="77777777" w:rsidTr="009A55E3">
        <w:trPr>
          <w:trHeight w:val="510"/>
        </w:trPr>
        <w:tc>
          <w:tcPr>
            <w:tcW w:w="0" w:type="auto"/>
            <w:tcBorders>
              <w:top w:val="nil"/>
              <w:left w:val="single" w:sz="4" w:space="0" w:color="auto"/>
              <w:bottom w:val="single" w:sz="4" w:space="0" w:color="auto"/>
              <w:right w:val="nil"/>
            </w:tcBorders>
            <w:vAlign w:val="center"/>
            <w:hideMark/>
          </w:tcPr>
          <w:p w14:paraId="1390FB24"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 xml:space="preserve">Gastos de transporte del equipo siniestrado hasta el lugar de reparación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BFF5CAF"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COP 50.000.000</w:t>
            </w:r>
          </w:p>
        </w:tc>
      </w:tr>
      <w:tr w:rsidR="009A55E3" w:rsidRPr="009A55E3" w14:paraId="277519B0" w14:textId="77777777" w:rsidTr="009A55E3">
        <w:trPr>
          <w:trHeight w:val="2805"/>
        </w:trPr>
        <w:tc>
          <w:tcPr>
            <w:tcW w:w="0" w:type="auto"/>
            <w:tcBorders>
              <w:top w:val="nil"/>
              <w:left w:val="single" w:sz="4" w:space="0" w:color="auto"/>
              <w:bottom w:val="single" w:sz="4" w:space="0" w:color="auto"/>
              <w:right w:val="nil"/>
            </w:tcBorders>
            <w:vAlign w:val="center"/>
            <w:hideMark/>
          </w:tcPr>
          <w:p w14:paraId="0B9A3689"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t>Honorarios profesionales, gastos de viaje y estadía de técnicos y otros</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Se extiende a cubrir el 100% de los honorarios que necesaria y razonablemente incurra el asegurado por concepto de honorarios, gastos de viaje y estadía de arquitectos, peritos, ajustadores, topógrafos, ingenieros, interventores, técnicos, consultores o cualquier otro profesional para efectuar trabajos para la reparación o reconstrucción, reposición o reemplazo de la propiedad asegurada, destruida o dañada por un riesgo cubierto.</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362AEA8E"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 xml:space="preserve"> COP 100.000.000 </w:t>
            </w:r>
          </w:p>
        </w:tc>
      </w:tr>
      <w:tr w:rsidR="009A55E3" w:rsidRPr="009A55E3" w14:paraId="413A5A5F" w14:textId="77777777" w:rsidTr="009A55E3">
        <w:trPr>
          <w:trHeight w:val="3060"/>
        </w:trPr>
        <w:tc>
          <w:tcPr>
            <w:tcW w:w="0" w:type="auto"/>
            <w:tcBorders>
              <w:top w:val="nil"/>
              <w:left w:val="single" w:sz="4" w:space="0" w:color="auto"/>
              <w:bottom w:val="single" w:sz="4" w:space="0" w:color="auto"/>
              <w:right w:val="nil"/>
            </w:tcBorders>
            <w:vAlign w:val="center"/>
            <w:hideMark/>
          </w:tcPr>
          <w:p w14:paraId="52672F15" w14:textId="77777777" w:rsidR="009A55E3" w:rsidRPr="009A55E3" w:rsidRDefault="009A55E3" w:rsidP="009A55E3">
            <w:pPr>
              <w:rPr>
                <w:rFonts w:ascii="Arial" w:eastAsia="Times New Roman" w:hAnsi="Arial" w:cs="Arial"/>
                <w:b/>
                <w:bCs/>
                <w:sz w:val="20"/>
                <w:szCs w:val="20"/>
                <w:lang w:val="es-MX" w:eastAsia="es-MX"/>
              </w:rPr>
            </w:pPr>
            <w:r w:rsidRPr="009A55E3">
              <w:rPr>
                <w:rFonts w:ascii="Arial" w:eastAsia="Times New Roman" w:hAnsi="Arial" w:cs="Arial"/>
                <w:b/>
                <w:bCs/>
                <w:sz w:val="20"/>
                <w:szCs w:val="20"/>
                <w:lang w:val="es-MX" w:eastAsia="es-MX"/>
              </w:rPr>
              <w:lastRenderedPageBreak/>
              <w:t>Gastos personal del asegurado por interventoría y reparaciones</w:t>
            </w:r>
            <w:r w:rsidRPr="009A55E3">
              <w:rPr>
                <w:rFonts w:ascii="Arial" w:eastAsia="Times New Roman" w:hAnsi="Arial" w:cs="Arial"/>
                <w:b/>
                <w:bCs/>
                <w:sz w:val="20"/>
                <w:szCs w:val="20"/>
                <w:lang w:val="es-MX" w:eastAsia="es-MX"/>
              </w:rPr>
              <w:br/>
            </w:r>
            <w:r w:rsidRPr="009A55E3">
              <w:rPr>
                <w:rFonts w:ascii="Arial" w:eastAsia="Times New Roman" w:hAnsi="Arial" w:cs="Arial"/>
                <w:color w:val="000000"/>
                <w:sz w:val="20"/>
                <w:szCs w:val="20"/>
                <w:lang w:val="es-MX" w:eastAsia="es-MX"/>
              </w:rPr>
              <w:t>Cubre el 100% de los gastos en que necesaria y razonablemente incurra el asegurado cuando, con ocasión de siniestro, el personal del asegurado supervise las reparaciones de los bienes siniestrados sin que ésta labor se confunda con la interventoría que llegara a nombrar la aseguradora para estas reparaciones. Así mismo, la aseguradora reconocerá los costos correspondientes a la participación del personal del asegurado, en las reparaciones que se deban adelantar con motivo del siniestro.</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B8610AB"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 xml:space="preserve"> COP 100.000.000 </w:t>
            </w:r>
          </w:p>
        </w:tc>
      </w:tr>
      <w:tr w:rsidR="009A55E3" w:rsidRPr="009A55E3" w14:paraId="67F9D313" w14:textId="77777777" w:rsidTr="009A55E3">
        <w:trPr>
          <w:trHeight w:val="300"/>
        </w:trPr>
        <w:tc>
          <w:tcPr>
            <w:tcW w:w="0" w:type="auto"/>
            <w:gridSpan w:val="2"/>
            <w:tcBorders>
              <w:top w:val="nil"/>
              <w:left w:val="single" w:sz="4" w:space="0" w:color="auto"/>
              <w:bottom w:val="single" w:sz="4" w:space="0" w:color="auto"/>
              <w:right w:val="single" w:sz="4" w:space="0" w:color="000000"/>
            </w:tcBorders>
            <w:shd w:val="clear" w:color="000000" w:fill="FF0000"/>
            <w:vAlign w:val="center"/>
            <w:hideMark/>
          </w:tcPr>
          <w:p w14:paraId="76A9B7B7" w14:textId="77777777" w:rsidR="009A55E3" w:rsidRPr="009A55E3" w:rsidRDefault="009A55E3" w:rsidP="009A55E3">
            <w:pPr>
              <w:rPr>
                <w:rFonts w:ascii="Arial" w:eastAsia="Times New Roman" w:hAnsi="Arial" w:cs="Arial"/>
                <w:b/>
                <w:bCs/>
                <w:color w:val="FFFFFF"/>
                <w:sz w:val="20"/>
                <w:szCs w:val="20"/>
                <w:lang w:val="es-MX" w:eastAsia="es-MX"/>
              </w:rPr>
            </w:pPr>
            <w:r w:rsidRPr="009A55E3">
              <w:rPr>
                <w:rFonts w:ascii="Arial" w:eastAsia="Times New Roman" w:hAnsi="Arial" w:cs="Arial"/>
                <w:b/>
                <w:bCs/>
                <w:color w:val="FFFFFF"/>
                <w:sz w:val="20"/>
                <w:szCs w:val="20"/>
                <w:lang w:val="es-MX" w:eastAsia="es-MX"/>
              </w:rPr>
              <w:t>11. Riesgos excluidos</w:t>
            </w:r>
          </w:p>
        </w:tc>
      </w:tr>
      <w:tr w:rsidR="009A55E3" w:rsidRPr="009A55E3" w14:paraId="4A04E858" w14:textId="77777777" w:rsidTr="009A55E3">
        <w:trPr>
          <w:trHeight w:val="1500"/>
        </w:trPr>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762379CF" w14:textId="77777777" w:rsidR="009A55E3" w:rsidRPr="009A55E3" w:rsidRDefault="009A55E3" w:rsidP="009A55E3">
            <w:pPr>
              <w:rPr>
                <w:rFonts w:ascii="Arial" w:eastAsia="Times New Roman" w:hAnsi="Arial" w:cs="Arial"/>
                <w:color w:val="000000"/>
                <w:sz w:val="20"/>
                <w:szCs w:val="20"/>
                <w:lang w:val="es-MX" w:eastAsia="es-MX"/>
              </w:rPr>
            </w:pPr>
            <w:r w:rsidRPr="009A55E3">
              <w:rPr>
                <w:rFonts w:ascii="Arial" w:eastAsia="Times New Roman" w:hAnsi="Arial" w:cs="Arial"/>
                <w:color w:val="000000"/>
                <w:sz w:val="20"/>
                <w:szCs w:val="20"/>
                <w:lang w:val="es-MX" w:eastAsia="es-MX"/>
              </w:rPr>
              <w:t>En materia de riesgos excluidos el Gobernación de Sucre acepta únicamente los expresamente mencionados como exclusiones absolutas de cobertura las que figuran en el texto del condicionado general depositado por la Aseguradora en la Superintendencia Financiera con anterioridad no inferior a quince (15) días hábiles al cierre del proceso. Serán válidas las exclusiones relativas consignadas en los mencionados condicionados generales solo cuando no contradigan las condiciones técnicas básicas habilitantes del presente proceso, en cuyo caso prevalecerán las condiciones técnicas básicas habilitantes.   Las aseguradoras se obligan a dejar incorporadas las garantías aplicables a la póliza única y exclusivamente a través del condicionado particular que será un anexo el cual no tendrá calificación.</w:t>
            </w:r>
          </w:p>
        </w:tc>
      </w:tr>
      <w:tr w:rsidR="009A55E3" w:rsidRPr="009A55E3" w14:paraId="263042D7" w14:textId="77777777" w:rsidTr="009A55E3">
        <w:trPr>
          <w:trHeight w:val="300"/>
        </w:trPr>
        <w:tc>
          <w:tcPr>
            <w:tcW w:w="0" w:type="auto"/>
            <w:gridSpan w:val="2"/>
            <w:tcBorders>
              <w:top w:val="nil"/>
              <w:left w:val="single" w:sz="4" w:space="0" w:color="auto"/>
              <w:bottom w:val="nil"/>
              <w:right w:val="single" w:sz="4" w:space="0" w:color="000000"/>
            </w:tcBorders>
            <w:shd w:val="clear" w:color="000000" w:fill="FF0000"/>
            <w:vAlign w:val="center"/>
            <w:hideMark/>
          </w:tcPr>
          <w:p w14:paraId="39525268" w14:textId="77777777" w:rsidR="009A55E3" w:rsidRPr="009A55E3" w:rsidRDefault="009A55E3" w:rsidP="009A55E3">
            <w:pPr>
              <w:rPr>
                <w:rFonts w:ascii="Arial" w:eastAsia="Times New Roman" w:hAnsi="Arial" w:cs="Arial"/>
                <w:b/>
                <w:bCs/>
                <w:color w:val="FFFFFF"/>
                <w:sz w:val="20"/>
                <w:szCs w:val="20"/>
                <w:lang w:val="es-MX" w:eastAsia="es-MX"/>
              </w:rPr>
            </w:pPr>
            <w:r w:rsidRPr="009A55E3">
              <w:rPr>
                <w:rFonts w:ascii="Arial" w:eastAsia="Times New Roman" w:hAnsi="Arial" w:cs="Arial"/>
                <w:b/>
                <w:bCs/>
                <w:color w:val="FFFFFF"/>
                <w:sz w:val="20"/>
                <w:szCs w:val="20"/>
                <w:lang w:val="es-MX" w:eastAsia="es-MX"/>
              </w:rPr>
              <w:t>12. CLAUSULAS</w:t>
            </w:r>
          </w:p>
        </w:tc>
      </w:tr>
      <w:tr w:rsidR="009A55E3" w:rsidRPr="009A55E3" w14:paraId="49DA1CA5" w14:textId="77777777" w:rsidTr="009A55E3">
        <w:trPr>
          <w:trHeight w:val="765"/>
        </w:trPr>
        <w:tc>
          <w:tcPr>
            <w:tcW w:w="0" w:type="auto"/>
            <w:tcBorders>
              <w:top w:val="single" w:sz="4" w:space="0" w:color="auto"/>
              <w:left w:val="single" w:sz="4" w:space="0" w:color="auto"/>
              <w:bottom w:val="single" w:sz="4" w:space="0" w:color="auto"/>
              <w:right w:val="single" w:sz="4" w:space="0" w:color="auto"/>
            </w:tcBorders>
            <w:vAlign w:val="center"/>
            <w:hideMark/>
          </w:tcPr>
          <w:p w14:paraId="2480EA87" w14:textId="77777777" w:rsidR="009A55E3" w:rsidRPr="009A55E3" w:rsidRDefault="009A55E3" w:rsidP="009A55E3">
            <w:pPr>
              <w:rPr>
                <w:rFonts w:ascii="Arial" w:eastAsia="Times New Roman" w:hAnsi="Arial" w:cs="Arial"/>
                <w:b/>
                <w:bCs/>
                <w:color w:val="000000"/>
                <w:sz w:val="20"/>
                <w:szCs w:val="20"/>
                <w:lang w:val="es-MX" w:eastAsia="es-MX"/>
              </w:rPr>
            </w:pPr>
            <w:r w:rsidRPr="009A55E3">
              <w:rPr>
                <w:rFonts w:ascii="Arial" w:eastAsia="Times New Roman" w:hAnsi="Arial" w:cs="Arial"/>
                <w:b/>
                <w:bCs/>
                <w:color w:val="000000"/>
                <w:sz w:val="20"/>
                <w:szCs w:val="20"/>
                <w:lang w:val="es-MX" w:eastAsia="es-MX"/>
              </w:rPr>
              <w:t>Se aceptan unicamente las garantías que se encuentre expresamente en el clausulado general</w:t>
            </w:r>
          </w:p>
        </w:tc>
        <w:tc>
          <w:tcPr>
            <w:tcW w:w="0" w:type="auto"/>
            <w:tcBorders>
              <w:top w:val="single" w:sz="4" w:space="0" w:color="auto"/>
              <w:left w:val="nil"/>
              <w:bottom w:val="single" w:sz="4" w:space="0" w:color="auto"/>
              <w:right w:val="single" w:sz="4" w:space="0" w:color="auto"/>
            </w:tcBorders>
            <w:vAlign w:val="center"/>
            <w:hideMark/>
          </w:tcPr>
          <w:p w14:paraId="00B20E45" w14:textId="77777777" w:rsidR="009A55E3" w:rsidRPr="009A55E3" w:rsidRDefault="009A55E3" w:rsidP="009A55E3">
            <w:pPr>
              <w:jc w:val="center"/>
              <w:rPr>
                <w:rFonts w:ascii="Arial" w:eastAsia="Times New Roman" w:hAnsi="Arial" w:cs="Arial"/>
                <w:sz w:val="20"/>
                <w:szCs w:val="20"/>
                <w:lang w:val="es-MX" w:eastAsia="es-MX"/>
              </w:rPr>
            </w:pPr>
            <w:r w:rsidRPr="009A55E3">
              <w:rPr>
                <w:rFonts w:ascii="Arial" w:eastAsia="Times New Roman" w:hAnsi="Arial" w:cs="Arial"/>
                <w:sz w:val="20"/>
                <w:szCs w:val="20"/>
                <w:lang w:val="es-MX" w:eastAsia="es-MX"/>
              </w:rPr>
              <w:t>Si</w:t>
            </w:r>
          </w:p>
        </w:tc>
      </w:tr>
    </w:tbl>
    <w:p w14:paraId="3630A5AA" w14:textId="77777777" w:rsidR="008B6608" w:rsidRDefault="008B6608" w:rsidP="00B27541">
      <w:pPr>
        <w:jc w:val="both"/>
        <w:rPr>
          <w:rFonts w:ascii="Arial Narrow" w:hAnsi="Arial Narrow" w:cs="Arial"/>
        </w:rPr>
      </w:pPr>
    </w:p>
    <w:sectPr w:rsidR="008B6608" w:rsidSect="00194021">
      <w:headerReference w:type="default" r:id="rId8"/>
      <w:footerReference w:type="even" r:id="rId9"/>
      <w:footerReference w:type="default" r:id="rId10"/>
      <w:footerReference w:type="first" r:id="rId11"/>
      <w:pgSz w:w="12240" w:h="15840" w:code="1"/>
      <w:pgMar w:top="2076"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B631C" w14:textId="77777777" w:rsidR="00D11151" w:rsidRDefault="00D11151" w:rsidP="00E85234">
      <w:r>
        <w:separator/>
      </w:r>
    </w:p>
  </w:endnote>
  <w:endnote w:type="continuationSeparator" w:id="0">
    <w:p w14:paraId="3952AAB2" w14:textId="77777777" w:rsidR="00D11151" w:rsidRDefault="00D11151" w:rsidP="00E8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15B68" w14:textId="72F69529" w:rsidR="00722B21" w:rsidRDefault="00722B21">
    <w:pPr>
      <w:pStyle w:val="Piedepgina"/>
    </w:pPr>
    <w:r>
      <w:rPr>
        <w:noProof/>
      </w:rPr>
      <mc:AlternateContent>
        <mc:Choice Requires="wps">
          <w:drawing>
            <wp:anchor distT="0" distB="0" distL="0" distR="0" simplePos="0" relativeHeight="251662336" behindDoc="0" locked="0" layoutInCell="1" allowOverlap="1" wp14:anchorId="78C52D84" wp14:editId="6FC3B141">
              <wp:simplePos x="635" y="635"/>
              <wp:positionH relativeFrom="page">
                <wp:align>center</wp:align>
              </wp:positionH>
              <wp:positionV relativeFrom="page">
                <wp:align>bottom</wp:align>
              </wp:positionV>
              <wp:extent cx="1633220" cy="345440"/>
              <wp:effectExtent l="0" t="0" r="5080" b="0"/>
              <wp:wrapNone/>
              <wp:docPr id="1580856233" name="Cuadro de texto 2"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77E8A957" w14:textId="33B5612C" w:rsidR="00722B21" w:rsidRPr="00722B21" w:rsidRDefault="00722B21" w:rsidP="00722B21">
                          <w:pPr>
                            <w:rPr>
                              <w:rFonts w:ascii="Calibri" w:eastAsia="Calibri" w:hAnsi="Calibri" w:cs="Calibri"/>
                              <w:noProof/>
                              <w:color w:val="000000"/>
                              <w:sz w:val="20"/>
                              <w:szCs w:val="20"/>
                            </w:rPr>
                          </w:pPr>
                          <w:r w:rsidRPr="00722B21">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C52D84" id="_x0000_t202" coordsize="21600,21600" o:spt="202" path="m,l,21600r21600,l21600,xe">
              <v:stroke joinstyle="miter"/>
              <v:path gradientshapeok="t" o:connecttype="rect"/>
            </v:shapetype>
            <v:shape id="Cuadro de texto 2" o:spid="_x0000_s1026" type="#_x0000_t202" alt="DOCUMENTO DE USO INTERNO" style="position:absolute;margin-left:0;margin-top:0;width:128.6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" filled="f" stroked="f">
              <v:fill o:detectmouseclick="t"/>
              <v:textbox style="mso-fit-shape-to-text:t" inset="0,0,0,15pt">
                <w:txbxContent>
                  <w:p w14:paraId="77E8A957" w14:textId="33B5612C" w:rsidR="00722B21" w:rsidRPr="00722B21" w:rsidRDefault="00722B21" w:rsidP="00722B21">
                    <w:pPr>
                      <w:rPr>
                        <w:rFonts w:ascii="Calibri" w:eastAsia="Calibri" w:hAnsi="Calibri" w:cs="Calibri"/>
                        <w:noProof/>
                        <w:color w:val="000000"/>
                        <w:sz w:val="20"/>
                        <w:szCs w:val="20"/>
                      </w:rPr>
                    </w:pPr>
                    <w:r w:rsidRPr="00722B21">
                      <w:rPr>
                        <w:rFonts w:ascii="Calibri" w:eastAsia="Calibri" w:hAnsi="Calibri" w:cs="Calibri"/>
                        <w:noProof/>
                        <w:color w:val="000000"/>
                        <w:sz w:val="20"/>
                        <w:szCs w:val="20"/>
                      </w:rPr>
                      <w:t>DOCUMENTO DE USO 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EF4A3" w14:textId="189F6A67" w:rsidR="00E85234" w:rsidRDefault="00722B21">
    <w:pPr>
      <w:pStyle w:val="Piedepgina"/>
    </w:pPr>
    <w:r>
      <w:rPr>
        <w:noProof/>
      </w:rPr>
      <mc:AlternateContent>
        <mc:Choice Requires="wps">
          <w:drawing>
            <wp:anchor distT="0" distB="0" distL="0" distR="0" simplePos="0" relativeHeight="251663360" behindDoc="0" locked="0" layoutInCell="1" allowOverlap="1" wp14:anchorId="36C1BEE5" wp14:editId="5F2CB0A2">
              <wp:simplePos x="1076325" y="9420225"/>
              <wp:positionH relativeFrom="page">
                <wp:align>center</wp:align>
              </wp:positionH>
              <wp:positionV relativeFrom="page">
                <wp:align>bottom</wp:align>
              </wp:positionV>
              <wp:extent cx="1633220" cy="345440"/>
              <wp:effectExtent l="0" t="0" r="5080" b="0"/>
              <wp:wrapNone/>
              <wp:docPr id="1017731043" name="Cuadro de texto 3"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4DF8126F" w14:textId="40E7FDB2" w:rsidR="00722B21" w:rsidRPr="00722B21" w:rsidRDefault="00722B21" w:rsidP="00722B21">
                          <w:pPr>
                            <w:rPr>
                              <w:rFonts w:ascii="Calibri" w:eastAsia="Calibri" w:hAnsi="Calibri" w:cs="Calibri"/>
                              <w:noProof/>
                              <w:color w:val="000000"/>
                              <w:sz w:val="20"/>
                              <w:szCs w:val="20"/>
                            </w:rPr>
                          </w:pPr>
                          <w:r w:rsidRPr="00722B21">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C1BEE5" id="_x0000_t202" coordsize="21600,21600" o:spt="202" path="m,l,21600r21600,l21600,xe">
              <v:stroke joinstyle="miter"/>
              <v:path gradientshapeok="t" o:connecttype="rect"/>
            </v:shapetype>
            <v:shape id="Cuadro de texto 3" o:spid="_x0000_s1027" type="#_x0000_t202" alt="DOCUMENTO DE USO INTERNO" style="position:absolute;margin-left:0;margin-top:0;width:128.6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" filled="f" stroked="f">
              <v:fill o:detectmouseclick="t"/>
              <v:textbox style="mso-fit-shape-to-text:t" inset="0,0,0,15pt">
                <w:txbxContent>
                  <w:p w14:paraId="4DF8126F" w14:textId="40E7FDB2" w:rsidR="00722B21" w:rsidRPr="00722B21" w:rsidRDefault="00722B21" w:rsidP="00722B21">
                    <w:pPr>
                      <w:rPr>
                        <w:rFonts w:ascii="Calibri" w:eastAsia="Calibri" w:hAnsi="Calibri" w:cs="Calibri"/>
                        <w:noProof/>
                        <w:color w:val="000000"/>
                        <w:sz w:val="20"/>
                        <w:szCs w:val="20"/>
                      </w:rPr>
                    </w:pPr>
                    <w:r w:rsidRPr="00722B21">
                      <w:rPr>
                        <w:rFonts w:ascii="Calibri" w:eastAsia="Calibri" w:hAnsi="Calibri" w:cs="Calibri"/>
                        <w:noProof/>
                        <w:color w:val="000000"/>
                        <w:sz w:val="20"/>
                        <w:szCs w:val="20"/>
                      </w:rPr>
                      <w:t>DOCUMENTO DE USO INTERNO</w:t>
                    </w:r>
                  </w:p>
                </w:txbxContent>
              </v:textbox>
              <w10:wrap anchorx="page" anchory="page"/>
            </v:shape>
          </w:pict>
        </mc:Fallback>
      </mc:AlternateContent>
    </w:r>
    <w:r w:rsidR="00D04B42">
      <w:rPr>
        <w:noProof/>
      </w:rPr>
      <w:drawing>
        <wp:anchor distT="0" distB="0" distL="114300" distR="114300" simplePos="0" relativeHeight="251660288" behindDoc="1" locked="0" layoutInCell="1" allowOverlap="1" wp14:anchorId="0323C4C0" wp14:editId="125CB016">
          <wp:simplePos x="0" y="0"/>
          <wp:positionH relativeFrom="margin">
            <wp:align>center</wp:align>
          </wp:positionH>
          <wp:positionV relativeFrom="paragraph">
            <wp:posOffset>-164465</wp:posOffset>
          </wp:positionV>
          <wp:extent cx="6212205" cy="579120"/>
          <wp:effectExtent l="0" t="0" r="0" b="0"/>
          <wp:wrapNone/>
          <wp:docPr id="78392219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2205" cy="579120"/>
                  </a:xfrm>
                  <a:prstGeom prst="rect">
                    <a:avLst/>
                  </a:prstGeom>
                  <a:noFill/>
                </pic:spPr>
              </pic:pic>
            </a:graphicData>
          </a:graphic>
        </wp:anchor>
      </w:drawing>
    </w:r>
    <w:r w:rsidR="0002432F">
      <w:rPr>
        <w:noProof/>
      </w:rPr>
      <w:drawing>
        <wp:anchor distT="0" distB="0" distL="114300" distR="114300" simplePos="0" relativeHeight="251659264" behindDoc="1" locked="0" layoutInCell="1" allowOverlap="1" wp14:anchorId="1C62CEBD" wp14:editId="4353D361">
          <wp:simplePos x="0" y="0"/>
          <wp:positionH relativeFrom="page">
            <wp:align>left</wp:align>
          </wp:positionH>
          <wp:positionV relativeFrom="paragraph">
            <wp:posOffset>340360</wp:posOffset>
          </wp:positionV>
          <wp:extent cx="7797165" cy="286385"/>
          <wp:effectExtent l="0" t="0" r="0" b="0"/>
          <wp:wrapNone/>
          <wp:docPr id="123310928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7165" cy="286385"/>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D1DCE" w14:textId="3C33EFA7" w:rsidR="00722B21" w:rsidRDefault="00722B21">
    <w:pPr>
      <w:pStyle w:val="Piedepgina"/>
    </w:pPr>
    <w:r>
      <w:rPr>
        <w:noProof/>
      </w:rPr>
      <mc:AlternateContent>
        <mc:Choice Requires="wps">
          <w:drawing>
            <wp:anchor distT="0" distB="0" distL="0" distR="0" simplePos="0" relativeHeight="251661312" behindDoc="0" locked="0" layoutInCell="1" allowOverlap="1" wp14:anchorId="2F7DB276" wp14:editId="06F78A14">
              <wp:simplePos x="635" y="635"/>
              <wp:positionH relativeFrom="page">
                <wp:align>center</wp:align>
              </wp:positionH>
              <wp:positionV relativeFrom="page">
                <wp:align>bottom</wp:align>
              </wp:positionV>
              <wp:extent cx="1633220" cy="345440"/>
              <wp:effectExtent l="0" t="0" r="5080" b="0"/>
              <wp:wrapNone/>
              <wp:docPr id="1734176250" name="Cuadro de texto 1"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55D8EA4D" w14:textId="7DA162A9" w:rsidR="00722B21" w:rsidRPr="00722B21" w:rsidRDefault="00722B21" w:rsidP="00722B21">
                          <w:pPr>
                            <w:rPr>
                              <w:rFonts w:ascii="Calibri" w:eastAsia="Calibri" w:hAnsi="Calibri" w:cs="Calibri"/>
                              <w:noProof/>
                              <w:color w:val="000000"/>
                              <w:sz w:val="20"/>
                              <w:szCs w:val="20"/>
                            </w:rPr>
                          </w:pPr>
                          <w:r w:rsidRPr="00722B21">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7DB276" id="_x0000_t202" coordsize="21600,21600" o:spt="202" path="m,l,21600r21600,l21600,xe">
              <v:stroke joinstyle="miter"/>
              <v:path gradientshapeok="t" o:connecttype="rect"/>
            </v:shapetype>
            <v:shape id="Cuadro de texto 1" o:spid="_x0000_s1028" type="#_x0000_t202" alt="DOCUMENTO DE USO INTERNO" style="position:absolute;margin-left:0;margin-top:0;width:128.6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" filled="f" stroked="f">
              <v:fill o:detectmouseclick="t"/>
              <v:textbox style="mso-fit-shape-to-text:t" inset="0,0,0,15pt">
                <w:txbxContent>
                  <w:p w14:paraId="55D8EA4D" w14:textId="7DA162A9" w:rsidR="00722B21" w:rsidRPr="00722B21" w:rsidRDefault="00722B21" w:rsidP="00722B21">
                    <w:pPr>
                      <w:rPr>
                        <w:rFonts w:ascii="Calibri" w:eastAsia="Calibri" w:hAnsi="Calibri" w:cs="Calibri"/>
                        <w:noProof/>
                        <w:color w:val="000000"/>
                        <w:sz w:val="20"/>
                        <w:szCs w:val="20"/>
                      </w:rPr>
                    </w:pPr>
                    <w:r w:rsidRPr="00722B21">
                      <w:rPr>
                        <w:rFonts w:ascii="Calibri" w:eastAsia="Calibri" w:hAnsi="Calibri" w:cs="Calibri"/>
                        <w:noProof/>
                        <w:color w:val="000000"/>
                        <w:sz w:val="20"/>
                        <w:szCs w:val="20"/>
                      </w:rPr>
                      <w:t>DOCUMENTO DE USO INTERNO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5BCBC" w14:textId="77777777" w:rsidR="00D11151" w:rsidRDefault="00D11151" w:rsidP="00E85234">
      <w:r>
        <w:separator/>
      </w:r>
    </w:p>
  </w:footnote>
  <w:footnote w:type="continuationSeparator" w:id="0">
    <w:p w14:paraId="1E8F3475" w14:textId="77777777" w:rsidR="00D11151" w:rsidRDefault="00D11151" w:rsidP="00E85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A802" w14:textId="38E1A464" w:rsidR="00E85234" w:rsidRDefault="00335C1E">
    <w:pPr>
      <w:pStyle w:val="Encabezado"/>
    </w:pPr>
    <w:r>
      <w:rPr>
        <w:noProof/>
      </w:rPr>
      <w:drawing>
        <wp:anchor distT="0" distB="0" distL="114300" distR="114300" simplePos="0" relativeHeight="251658240" behindDoc="1" locked="0" layoutInCell="1" allowOverlap="1" wp14:anchorId="48D72CF4" wp14:editId="77C28522">
          <wp:simplePos x="0" y="0"/>
          <wp:positionH relativeFrom="column">
            <wp:posOffset>1548765</wp:posOffset>
          </wp:positionH>
          <wp:positionV relativeFrom="paragraph">
            <wp:posOffset>-163830</wp:posOffset>
          </wp:positionV>
          <wp:extent cx="2481580" cy="792480"/>
          <wp:effectExtent l="0" t="0" r="0" b="7620"/>
          <wp:wrapNone/>
          <wp:docPr id="20074806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1580" cy="79248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95F"/>
    <w:multiLevelType w:val="hybridMultilevel"/>
    <w:tmpl w:val="BAD4EE5C"/>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1" w15:restartNumberingAfterBreak="0">
    <w:nsid w:val="580E5A00"/>
    <w:multiLevelType w:val="hybridMultilevel"/>
    <w:tmpl w:val="1324A6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09613887">
    <w:abstractNumId w:val="1"/>
  </w:num>
  <w:num w:numId="2" w16cid:durableId="739130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234"/>
    <w:rsid w:val="00011CD2"/>
    <w:rsid w:val="00023AF8"/>
    <w:rsid w:val="0002432F"/>
    <w:rsid w:val="00026634"/>
    <w:rsid w:val="0003021D"/>
    <w:rsid w:val="00047931"/>
    <w:rsid w:val="00047A27"/>
    <w:rsid w:val="000861F3"/>
    <w:rsid w:val="00087C55"/>
    <w:rsid w:val="00092828"/>
    <w:rsid w:val="000B26E8"/>
    <w:rsid w:val="000D7323"/>
    <w:rsid w:val="000E64BB"/>
    <w:rsid w:val="000F5128"/>
    <w:rsid w:val="001110E8"/>
    <w:rsid w:val="00146130"/>
    <w:rsid w:val="001478F2"/>
    <w:rsid w:val="0015217A"/>
    <w:rsid w:val="0015575B"/>
    <w:rsid w:val="00162A42"/>
    <w:rsid w:val="00165A4A"/>
    <w:rsid w:val="00170A06"/>
    <w:rsid w:val="0017141E"/>
    <w:rsid w:val="00174F67"/>
    <w:rsid w:val="00182EEE"/>
    <w:rsid w:val="00193075"/>
    <w:rsid w:val="00194021"/>
    <w:rsid w:val="00194F47"/>
    <w:rsid w:val="00197520"/>
    <w:rsid w:val="001A0FA6"/>
    <w:rsid w:val="001A6438"/>
    <w:rsid w:val="001A6CBC"/>
    <w:rsid w:val="001B5A4C"/>
    <w:rsid w:val="001D459C"/>
    <w:rsid w:val="001E6984"/>
    <w:rsid w:val="00200301"/>
    <w:rsid w:val="00205C87"/>
    <w:rsid w:val="002252D6"/>
    <w:rsid w:val="00236F32"/>
    <w:rsid w:val="00241311"/>
    <w:rsid w:val="002455A0"/>
    <w:rsid w:val="00246402"/>
    <w:rsid w:val="00255538"/>
    <w:rsid w:val="00256F62"/>
    <w:rsid w:val="002642D8"/>
    <w:rsid w:val="0027529B"/>
    <w:rsid w:val="0027699C"/>
    <w:rsid w:val="00277A72"/>
    <w:rsid w:val="00295B73"/>
    <w:rsid w:val="002A5BF9"/>
    <w:rsid w:val="002B7BAC"/>
    <w:rsid w:val="002D6539"/>
    <w:rsid w:val="002E1D39"/>
    <w:rsid w:val="003178DC"/>
    <w:rsid w:val="00327B1C"/>
    <w:rsid w:val="00335C1E"/>
    <w:rsid w:val="00342371"/>
    <w:rsid w:val="00361B1D"/>
    <w:rsid w:val="00367849"/>
    <w:rsid w:val="003678A0"/>
    <w:rsid w:val="003768CF"/>
    <w:rsid w:val="0039297C"/>
    <w:rsid w:val="003A0BD6"/>
    <w:rsid w:val="003B7744"/>
    <w:rsid w:val="003C1C56"/>
    <w:rsid w:val="003D43B9"/>
    <w:rsid w:val="003D5681"/>
    <w:rsid w:val="00402420"/>
    <w:rsid w:val="00407F48"/>
    <w:rsid w:val="00431C03"/>
    <w:rsid w:val="00436C45"/>
    <w:rsid w:val="00461183"/>
    <w:rsid w:val="004714D0"/>
    <w:rsid w:val="00496ECE"/>
    <w:rsid w:val="004A06E9"/>
    <w:rsid w:val="004B015F"/>
    <w:rsid w:val="004D1505"/>
    <w:rsid w:val="004E38BA"/>
    <w:rsid w:val="005153F2"/>
    <w:rsid w:val="00531325"/>
    <w:rsid w:val="005335E1"/>
    <w:rsid w:val="00537B75"/>
    <w:rsid w:val="00545EDE"/>
    <w:rsid w:val="005506A4"/>
    <w:rsid w:val="00552304"/>
    <w:rsid w:val="005557ED"/>
    <w:rsid w:val="00570F3C"/>
    <w:rsid w:val="005754F6"/>
    <w:rsid w:val="00577F6C"/>
    <w:rsid w:val="005820C1"/>
    <w:rsid w:val="005A0883"/>
    <w:rsid w:val="005B2D6E"/>
    <w:rsid w:val="005B5BE0"/>
    <w:rsid w:val="005D08DD"/>
    <w:rsid w:val="005D6B15"/>
    <w:rsid w:val="005D79AA"/>
    <w:rsid w:val="005D7C20"/>
    <w:rsid w:val="005E6B88"/>
    <w:rsid w:val="005F41D1"/>
    <w:rsid w:val="00606ECD"/>
    <w:rsid w:val="00611110"/>
    <w:rsid w:val="00637B0D"/>
    <w:rsid w:val="00640856"/>
    <w:rsid w:val="00646AA0"/>
    <w:rsid w:val="0065303D"/>
    <w:rsid w:val="00665D4D"/>
    <w:rsid w:val="00684A90"/>
    <w:rsid w:val="0069639E"/>
    <w:rsid w:val="006B46B9"/>
    <w:rsid w:val="006B496F"/>
    <w:rsid w:val="006C06FF"/>
    <w:rsid w:val="006C4E6E"/>
    <w:rsid w:val="006D5C55"/>
    <w:rsid w:val="006D6203"/>
    <w:rsid w:val="006F14FE"/>
    <w:rsid w:val="00701E42"/>
    <w:rsid w:val="00702253"/>
    <w:rsid w:val="00707594"/>
    <w:rsid w:val="00722B21"/>
    <w:rsid w:val="00731507"/>
    <w:rsid w:val="007359A4"/>
    <w:rsid w:val="00786260"/>
    <w:rsid w:val="007A3C5D"/>
    <w:rsid w:val="007D338A"/>
    <w:rsid w:val="007E2FB1"/>
    <w:rsid w:val="007F0777"/>
    <w:rsid w:val="008420DD"/>
    <w:rsid w:val="008538A4"/>
    <w:rsid w:val="00856414"/>
    <w:rsid w:val="008616CC"/>
    <w:rsid w:val="00864E0C"/>
    <w:rsid w:val="00884693"/>
    <w:rsid w:val="008852F7"/>
    <w:rsid w:val="00886016"/>
    <w:rsid w:val="00894B86"/>
    <w:rsid w:val="00897BB4"/>
    <w:rsid w:val="008A5F79"/>
    <w:rsid w:val="008B6608"/>
    <w:rsid w:val="008C2270"/>
    <w:rsid w:val="008C418D"/>
    <w:rsid w:val="008D259B"/>
    <w:rsid w:val="008E7FD5"/>
    <w:rsid w:val="008F404D"/>
    <w:rsid w:val="0091698D"/>
    <w:rsid w:val="009173C7"/>
    <w:rsid w:val="009335F8"/>
    <w:rsid w:val="00934887"/>
    <w:rsid w:val="0094241C"/>
    <w:rsid w:val="00942A7D"/>
    <w:rsid w:val="009458D0"/>
    <w:rsid w:val="009508A2"/>
    <w:rsid w:val="009556B9"/>
    <w:rsid w:val="00961BB2"/>
    <w:rsid w:val="009651F7"/>
    <w:rsid w:val="0097007E"/>
    <w:rsid w:val="009A3537"/>
    <w:rsid w:val="009A55E3"/>
    <w:rsid w:val="009A770A"/>
    <w:rsid w:val="009D2429"/>
    <w:rsid w:val="009D6458"/>
    <w:rsid w:val="009D7D72"/>
    <w:rsid w:val="009E1731"/>
    <w:rsid w:val="009F01DA"/>
    <w:rsid w:val="00A30D82"/>
    <w:rsid w:val="00A33666"/>
    <w:rsid w:val="00A40362"/>
    <w:rsid w:val="00A613EB"/>
    <w:rsid w:val="00A74C7E"/>
    <w:rsid w:val="00A74DDF"/>
    <w:rsid w:val="00A7703B"/>
    <w:rsid w:val="00A91E63"/>
    <w:rsid w:val="00AA4849"/>
    <w:rsid w:val="00AA5BA7"/>
    <w:rsid w:val="00AB05E2"/>
    <w:rsid w:val="00AB1B76"/>
    <w:rsid w:val="00AB4BF9"/>
    <w:rsid w:val="00AB7B91"/>
    <w:rsid w:val="00AF664D"/>
    <w:rsid w:val="00B13433"/>
    <w:rsid w:val="00B13BC7"/>
    <w:rsid w:val="00B17ACF"/>
    <w:rsid w:val="00B27541"/>
    <w:rsid w:val="00B3032F"/>
    <w:rsid w:val="00B347A3"/>
    <w:rsid w:val="00B416C7"/>
    <w:rsid w:val="00B51EB4"/>
    <w:rsid w:val="00B633F9"/>
    <w:rsid w:val="00B87AAD"/>
    <w:rsid w:val="00B94355"/>
    <w:rsid w:val="00BC4A48"/>
    <w:rsid w:val="00BD3B97"/>
    <w:rsid w:val="00C00858"/>
    <w:rsid w:val="00C12157"/>
    <w:rsid w:val="00C25C7A"/>
    <w:rsid w:val="00C47F55"/>
    <w:rsid w:val="00C61EA6"/>
    <w:rsid w:val="00C760B4"/>
    <w:rsid w:val="00C77C69"/>
    <w:rsid w:val="00C8141D"/>
    <w:rsid w:val="00C853A4"/>
    <w:rsid w:val="00C9022D"/>
    <w:rsid w:val="00C90EFA"/>
    <w:rsid w:val="00CA79DE"/>
    <w:rsid w:val="00CB47D2"/>
    <w:rsid w:val="00CC0016"/>
    <w:rsid w:val="00CC5554"/>
    <w:rsid w:val="00CC6219"/>
    <w:rsid w:val="00CD1100"/>
    <w:rsid w:val="00CD4691"/>
    <w:rsid w:val="00CF59D8"/>
    <w:rsid w:val="00D04B42"/>
    <w:rsid w:val="00D11151"/>
    <w:rsid w:val="00D20C34"/>
    <w:rsid w:val="00D20C7D"/>
    <w:rsid w:val="00D31E97"/>
    <w:rsid w:val="00D375AD"/>
    <w:rsid w:val="00D63934"/>
    <w:rsid w:val="00D74CA1"/>
    <w:rsid w:val="00D76A4B"/>
    <w:rsid w:val="00D848EA"/>
    <w:rsid w:val="00D870C6"/>
    <w:rsid w:val="00D97211"/>
    <w:rsid w:val="00DC0B15"/>
    <w:rsid w:val="00DC5BBD"/>
    <w:rsid w:val="00DD192D"/>
    <w:rsid w:val="00DD5389"/>
    <w:rsid w:val="00DE4D9A"/>
    <w:rsid w:val="00DE769F"/>
    <w:rsid w:val="00DF1BB5"/>
    <w:rsid w:val="00E00BAC"/>
    <w:rsid w:val="00E05A1B"/>
    <w:rsid w:val="00E07D77"/>
    <w:rsid w:val="00E5297D"/>
    <w:rsid w:val="00E52F33"/>
    <w:rsid w:val="00E55CE6"/>
    <w:rsid w:val="00E63C70"/>
    <w:rsid w:val="00E75605"/>
    <w:rsid w:val="00E76B86"/>
    <w:rsid w:val="00E81AA0"/>
    <w:rsid w:val="00E85234"/>
    <w:rsid w:val="00EA249E"/>
    <w:rsid w:val="00EA494E"/>
    <w:rsid w:val="00EA63B7"/>
    <w:rsid w:val="00EB2332"/>
    <w:rsid w:val="00EB6242"/>
    <w:rsid w:val="00EC5084"/>
    <w:rsid w:val="00EC7CFE"/>
    <w:rsid w:val="00ED5BD9"/>
    <w:rsid w:val="00ED5C2C"/>
    <w:rsid w:val="00ED7FD0"/>
    <w:rsid w:val="00EE76E5"/>
    <w:rsid w:val="00EF0D34"/>
    <w:rsid w:val="00EF0E97"/>
    <w:rsid w:val="00EF4202"/>
    <w:rsid w:val="00F01127"/>
    <w:rsid w:val="00F1663A"/>
    <w:rsid w:val="00F251C4"/>
    <w:rsid w:val="00F545E3"/>
    <w:rsid w:val="00F855C3"/>
    <w:rsid w:val="00F861D1"/>
    <w:rsid w:val="00FB1383"/>
    <w:rsid w:val="00FB19AC"/>
    <w:rsid w:val="00FB391B"/>
    <w:rsid w:val="00FB614D"/>
    <w:rsid w:val="00FB6831"/>
    <w:rsid w:val="00FD4EF0"/>
    <w:rsid w:val="00FE350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D6E3B"/>
  <w15:docId w15:val="{14BA731B-2B52-4DD5-9B9E-FB5F11F3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30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5234"/>
    <w:pPr>
      <w:tabs>
        <w:tab w:val="center" w:pos="4419"/>
        <w:tab w:val="right" w:pos="8838"/>
      </w:tabs>
    </w:pPr>
  </w:style>
  <w:style w:type="character" w:customStyle="1" w:styleId="EncabezadoCar">
    <w:name w:val="Encabezado Car"/>
    <w:basedOn w:val="Fuentedeprrafopredeter"/>
    <w:link w:val="Encabezado"/>
    <w:uiPriority w:val="99"/>
    <w:rsid w:val="00E85234"/>
  </w:style>
  <w:style w:type="paragraph" w:styleId="Piedepgina">
    <w:name w:val="footer"/>
    <w:basedOn w:val="Normal"/>
    <w:link w:val="PiedepginaCar"/>
    <w:uiPriority w:val="99"/>
    <w:unhideWhenUsed/>
    <w:rsid w:val="00E85234"/>
    <w:pPr>
      <w:tabs>
        <w:tab w:val="center" w:pos="4419"/>
        <w:tab w:val="right" w:pos="8838"/>
      </w:tabs>
    </w:pPr>
  </w:style>
  <w:style w:type="character" w:customStyle="1" w:styleId="PiedepginaCar">
    <w:name w:val="Pie de página Car"/>
    <w:basedOn w:val="Fuentedeprrafopredeter"/>
    <w:link w:val="Piedepgina"/>
    <w:uiPriority w:val="99"/>
    <w:rsid w:val="00E85234"/>
  </w:style>
  <w:style w:type="paragraph" w:styleId="Textodeglobo">
    <w:name w:val="Balloon Text"/>
    <w:basedOn w:val="Normal"/>
    <w:link w:val="TextodegloboCar"/>
    <w:uiPriority w:val="99"/>
    <w:semiHidden/>
    <w:unhideWhenUsed/>
    <w:rsid w:val="003D43B9"/>
    <w:rPr>
      <w:rFonts w:ascii="Tahoma" w:hAnsi="Tahoma" w:cs="Tahoma"/>
      <w:sz w:val="16"/>
      <w:szCs w:val="16"/>
    </w:rPr>
  </w:style>
  <w:style w:type="character" w:customStyle="1" w:styleId="TextodegloboCar">
    <w:name w:val="Texto de globo Car"/>
    <w:basedOn w:val="Fuentedeprrafopredeter"/>
    <w:link w:val="Textodeglobo"/>
    <w:uiPriority w:val="99"/>
    <w:semiHidden/>
    <w:rsid w:val="003D43B9"/>
    <w:rPr>
      <w:rFonts w:ascii="Tahoma" w:hAnsi="Tahoma" w:cs="Tahoma"/>
      <w:sz w:val="16"/>
      <w:szCs w:val="16"/>
    </w:rPr>
  </w:style>
  <w:style w:type="paragraph" w:customStyle="1" w:styleId="Default">
    <w:name w:val="Default"/>
    <w:rsid w:val="00B27541"/>
    <w:pPr>
      <w:autoSpaceDE w:val="0"/>
      <w:autoSpaceDN w:val="0"/>
      <w:adjustRightInd w:val="0"/>
    </w:pPr>
    <w:rPr>
      <w:rFonts w:ascii="Arial" w:hAnsi="Arial" w:cs="Arial"/>
      <w:color w:val="000000"/>
      <w14:ligatures w14:val="standardContextual"/>
    </w:rPr>
  </w:style>
  <w:style w:type="character" w:styleId="Hipervnculo">
    <w:name w:val="Hyperlink"/>
    <w:basedOn w:val="Fuentedeprrafopredeter"/>
    <w:uiPriority w:val="99"/>
    <w:unhideWhenUsed/>
    <w:rsid w:val="00ED7FD0"/>
    <w:rPr>
      <w:color w:val="0563C1" w:themeColor="hyperlink"/>
      <w:u w:val="single"/>
    </w:rPr>
  </w:style>
  <w:style w:type="character" w:styleId="Mencinsinresolver">
    <w:name w:val="Unresolved Mention"/>
    <w:basedOn w:val="Fuentedeprrafopredeter"/>
    <w:uiPriority w:val="99"/>
    <w:semiHidden/>
    <w:unhideWhenUsed/>
    <w:rsid w:val="00ED7FD0"/>
    <w:rPr>
      <w:color w:val="605E5C"/>
      <w:shd w:val="clear" w:color="auto" w:fill="E1DFDD"/>
    </w:rPr>
  </w:style>
  <w:style w:type="table" w:styleId="Tablaconcuadrcula">
    <w:name w:val="Table Grid"/>
    <w:basedOn w:val="Tablanormal"/>
    <w:uiPriority w:val="39"/>
    <w:rsid w:val="00087C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05A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076483">
      <w:bodyDiv w:val="1"/>
      <w:marLeft w:val="0"/>
      <w:marRight w:val="0"/>
      <w:marTop w:val="0"/>
      <w:marBottom w:val="0"/>
      <w:divBdr>
        <w:top w:val="none" w:sz="0" w:space="0" w:color="auto"/>
        <w:left w:val="none" w:sz="0" w:space="0" w:color="auto"/>
        <w:bottom w:val="none" w:sz="0" w:space="0" w:color="auto"/>
        <w:right w:val="none" w:sz="0" w:space="0" w:color="auto"/>
      </w:divBdr>
    </w:div>
    <w:div w:id="153684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10</Pages>
  <Words>3072</Words>
  <Characters>17081</Characters>
  <Application>Microsoft Office Word</Application>
  <DocSecurity>0</DocSecurity>
  <Lines>416</Lines>
  <Paragraphs>129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Alejandra Aguas</dc:creator>
  <cp:lastModifiedBy>César Ramírez Vergara.</cp:lastModifiedBy>
  <cp:revision>140</cp:revision>
  <cp:lastPrinted>2025-03-13T16:19:00Z</cp:lastPrinted>
  <dcterms:created xsi:type="dcterms:W3CDTF">2025-02-20T14:40:00Z</dcterms:created>
  <dcterms:modified xsi:type="dcterms:W3CDTF">2026-03-25T16:40:00Z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675d6dfa,5e39f3a9,3ca957e3</vt:lpwstr>
  </property>
  <property fmtid="{D5CDD505-2E9C-101B-9397-08002B2CF9AE}" pid="3" name="ClassificationContentMarkingFooterFontProps">
    <vt:lpwstr>#000000,10,Calibri</vt:lpwstr>
  </property>
  <property fmtid="{D5CDD505-2E9C-101B-9397-08002B2CF9AE}" pid="4" name="ClassificationContentMarkingFooterText">
    <vt:lpwstr>DOCUMENTO DE USO INTERNO</vt:lpwstr>
  </property>
  <property fmtid="{D5CDD505-2E9C-101B-9397-08002B2CF9AE}" pid="5" name="MSIP_Label_1f9f3886-688c-41ec-beb5-f6c446299e5f_Enabled">
    <vt:lpwstr>true</vt:lpwstr>
  </property>
  <property fmtid="{D5CDD505-2E9C-101B-9397-08002B2CF9AE}" pid="6" name="MSIP_Label_1f9f3886-688c-41ec-beb5-f6c446299e5f_SetDate">
    <vt:lpwstr>2026-03-24T18:58:12Z</vt:lpwstr>
  </property>
  <property fmtid="{D5CDD505-2E9C-101B-9397-08002B2CF9AE}" pid="7" name="MSIP_Label_1f9f3886-688c-41ec-beb5-f6c446299e5f_Method">
    <vt:lpwstr>Standard</vt:lpwstr>
  </property>
  <property fmtid="{D5CDD505-2E9C-101B-9397-08002B2CF9AE}" pid="8" name="MSIP_Label_1f9f3886-688c-41ec-beb5-f6c446299e5f_Name">
    <vt:lpwstr>Interno - Acceso abierto (No Cifrado)</vt:lpwstr>
  </property>
  <property fmtid="{D5CDD505-2E9C-101B-9397-08002B2CF9AE}" pid="9" name="MSIP_Label_1f9f3886-688c-41ec-beb5-f6c446299e5f_SiteId">
    <vt:lpwstr>73e84937-70de-4ceb-8f14-b8f9ab356f6e</vt:lpwstr>
  </property>
  <property fmtid="{D5CDD505-2E9C-101B-9397-08002B2CF9AE}" pid="10" name="MSIP_Label_1f9f3886-688c-41ec-beb5-f6c446299e5f_ActionId">
    <vt:lpwstr>9797eced-70e6-44e5-9aba-54de7a41ca3a</vt:lpwstr>
  </property>
  <property fmtid="{D5CDD505-2E9C-101B-9397-08002B2CF9AE}" pid="11" name="MSIP_Label_1f9f3886-688c-41ec-beb5-f6c446299e5f_ContentBits">
    <vt:lpwstr>2</vt:lpwstr>
  </property>
  <property fmtid="{D5CDD505-2E9C-101B-9397-08002B2CF9AE}" pid="12" name="MSIP_Label_1f9f3886-688c-41ec-beb5-f6c446299e5f_Tag">
    <vt:lpwstr>10, 3, 0, 1</vt:lpwstr>
  </property>
</Properties>
</file>